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2CACE">
      <w:pPr>
        <w:tabs>
          <w:tab w:val="center" w:pos="4153"/>
          <w:tab w:val="left" w:pos="6180"/>
        </w:tabs>
        <w:spacing w:line="360" w:lineRule="auto"/>
        <w:jc w:val="right"/>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lang w:val="en-US" w:eastAsia="zh-CN"/>
        </w:rPr>
        <w:t>合同</w:t>
      </w:r>
      <w:r>
        <w:rPr>
          <w:rFonts w:hint="eastAsia" w:ascii="仿宋" w:hAnsi="仿宋" w:eastAsia="仿宋" w:cs="仿宋"/>
          <w:bCs/>
          <w:color w:val="auto"/>
          <w:sz w:val="28"/>
          <w:szCs w:val="28"/>
          <w:highlight w:val="none"/>
        </w:rPr>
        <w:t>编号：2025-瀛海一号地-新建项目-11</w:t>
      </w:r>
    </w:p>
    <w:p w14:paraId="150841A3">
      <w:pPr>
        <w:jc w:val="center"/>
        <w:rPr>
          <w:rFonts w:hint="eastAsia" w:ascii="仿宋" w:hAnsi="仿宋" w:eastAsia="仿宋" w:cs="仿宋"/>
          <w:b/>
          <w:color w:val="auto"/>
          <w:sz w:val="32"/>
          <w:szCs w:val="72"/>
          <w:highlight w:val="none"/>
        </w:rPr>
      </w:pPr>
    </w:p>
    <w:p w14:paraId="31971CDC">
      <w:pPr>
        <w:spacing w:before="62" w:beforeLines="20" w:after="62" w:afterLines="20"/>
        <w:jc w:val="center"/>
        <w:rPr>
          <w:rFonts w:hint="eastAsia" w:ascii="仿宋" w:hAnsi="仿宋" w:eastAsia="仿宋" w:cs="仿宋"/>
          <w:b/>
          <w:color w:val="auto"/>
          <w:sz w:val="48"/>
          <w:szCs w:val="44"/>
          <w:highlight w:val="none"/>
          <w:lang w:eastAsia="zh-CN"/>
        </w:rPr>
      </w:pPr>
      <w:bookmarkStart w:id="0" w:name="_GoBack"/>
      <w:bookmarkEnd w:id="0"/>
    </w:p>
    <w:p w14:paraId="4CA501AB">
      <w:pPr>
        <w:pStyle w:val="2"/>
        <w:rPr>
          <w:rFonts w:hint="eastAsia" w:ascii="仿宋" w:hAnsi="仿宋" w:eastAsia="仿宋" w:cs="仿宋"/>
          <w:color w:val="auto"/>
          <w:highlight w:val="none"/>
          <w:lang w:eastAsia="zh-CN"/>
        </w:rPr>
      </w:pPr>
    </w:p>
    <w:p w14:paraId="15EFC4CA">
      <w:pPr>
        <w:spacing w:before="62" w:beforeLines="20" w:after="62" w:afterLines="20"/>
        <w:jc w:val="both"/>
        <w:rPr>
          <w:rFonts w:hint="eastAsia" w:ascii="仿宋" w:hAnsi="仿宋" w:eastAsia="仿宋" w:cs="仿宋"/>
          <w:b/>
          <w:color w:val="auto"/>
          <w:sz w:val="48"/>
          <w:szCs w:val="44"/>
          <w:highlight w:val="none"/>
          <w:lang w:eastAsia="zh-CN"/>
        </w:rPr>
      </w:pPr>
    </w:p>
    <w:p w14:paraId="6ABA6171">
      <w:pPr>
        <w:spacing w:before="62" w:beforeLines="20" w:after="62" w:afterLines="20"/>
        <w:jc w:val="center"/>
        <w:rPr>
          <w:rFonts w:hint="eastAsia" w:ascii="仿宋" w:hAnsi="仿宋" w:eastAsia="仿宋" w:cs="仿宋"/>
          <w:b/>
          <w:color w:val="auto"/>
          <w:sz w:val="48"/>
          <w:szCs w:val="44"/>
          <w:highlight w:val="none"/>
          <w:lang w:eastAsia="zh-CN"/>
        </w:rPr>
      </w:pPr>
    </w:p>
    <w:p w14:paraId="01636994">
      <w:pPr>
        <w:spacing w:before="62" w:beforeLines="20" w:after="62" w:afterLines="20"/>
        <w:jc w:val="center"/>
        <w:rPr>
          <w:rFonts w:hint="eastAsia" w:ascii="仿宋" w:hAnsi="仿宋" w:eastAsia="仿宋" w:cs="仿宋"/>
          <w:b/>
          <w:color w:val="auto"/>
          <w:sz w:val="44"/>
          <w:szCs w:val="44"/>
          <w:highlight w:val="none"/>
        </w:rPr>
      </w:pPr>
      <w:r>
        <w:rPr>
          <w:rFonts w:hint="eastAsia" w:ascii="仿宋" w:hAnsi="仿宋" w:eastAsia="仿宋" w:cs="仿宋"/>
          <w:b/>
          <w:color w:val="auto"/>
          <w:sz w:val="48"/>
          <w:szCs w:val="44"/>
          <w:highlight w:val="none"/>
          <w:lang w:eastAsia="zh-CN"/>
        </w:rPr>
        <w:t>2026年度人才租赁住房租金评估</w:t>
      </w:r>
      <w:r>
        <w:rPr>
          <w:rFonts w:hint="eastAsia" w:ascii="仿宋" w:hAnsi="仿宋" w:eastAsia="仿宋" w:cs="仿宋"/>
          <w:b/>
          <w:color w:val="auto"/>
          <w:sz w:val="44"/>
          <w:szCs w:val="44"/>
          <w:highlight w:val="none"/>
        </w:rPr>
        <w:t>合同</w:t>
      </w:r>
    </w:p>
    <w:p w14:paraId="0F1613A4">
      <w:pPr>
        <w:spacing w:before="62" w:beforeLines="20" w:after="62" w:afterLines="20" w:line="400" w:lineRule="exact"/>
        <w:jc w:val="center"/>
        <w:rPr>
          <w:rFonts w:hint="eastAsia" w:ascii="仿宋" w:hAnsi="仿宋" w:eastAsia="仿宋" w:cs="仿宋"/>
          <w:color w:val="auto"/>
          <w:sz w:val="40"/>
          <w:szCs w:val="40"/>
          <w:highlight w:val="none"/>
        </w:rPr>
      </w:pPr>
    </w:p>
    <w:p w14:paraId="031DAF1B">
      <w:pPr>
        <w:spacing w:before="62" w:beforeLines="20" w:after="62" w:afterLines="20" w:line="400" w:lineRule="exact"/>
        <w:jc w:val="center"/>
        <w:rPr>
          <w:rFonts w:hint="eastAsia" w:ascii="仿宋" w:hAnsi="仿宋" w:eastAsia="仿宋" w:cs="仿宋"/>
          <w:color w:val="auto"/>
          <w:sz w:val="40"/>
          <w:szCs w:val="40"/>
          <w:highlight w:val="none"/>
        </w:rPr>
      </w:pPr>
    </w:p>
    <w:p w14:paraId="6EFD30D9">
      <w:pPr>
        <w:spacing w:before="62" w:beforeLines="20" w:after="62" w:afterLines="20" w:line="400" w:lineRule="exact"/>
        <w:jc w:val="center"/>
        <w:rPr>
          <w:rFonts w:hint="eastAsia" w:ascii="仿宋" w:hAnsi="仿宋" w:eastAsia="仿宋" w:cs="仿宋"/>
          <w:color w:val="auto"/>
          <w:sz w:val="40"/>
          <w:szCs w:val="40"/>
          <w:highlight w:val="none"/>
        </w:rPr>
      </w:pPr>
    </w:p>
    <w:p w14:paraId="2A5FF4A5">
      <w:pPr>
        <w:spacing w:before="62" w:beforeLines="20" w:after="62" w:afterLines="20" w:line="400" w:lineRule="exact"/>
        <w:jc w:val="center"/>
        <w:rPr>
          <w:rFonts w:hint="eastAsia" w:ascii="仿宋" w:hAnsi="仿宋" w:eastAsia="仿宋" w:cs="仿宋"/>
          <w:color w:val="auto"/>
          <w:sz w:val="40"/>
          <w:szCs w:val="40"/>
          <w:highlight w:val="none"/>
        </w:rPr>
      </w:pPr>
    </w:p>
    <w:p w14:paraId="4E47F77F">
      <w:pPr>
        <w:spacing w:before="62" w:beforeLines="20" w:after="62" w:afterLines="20" w:line="400" w:lineRule="exact"/>
        <w:jc w:val="center"/>
        <w:rPr>
          <w:rFonts w:hint="eastAsia" w:ascii="仿宋" w:hAnsi="仿宋" w:eastAsia="仿宋" w:cs="仿宋"/>
          <w:color w:val="auto"/>
          <w:sz w:val="40"/>
          <w:szCs w:val="40"/>
          <w:highlight w:val="none"/>
        </w:rPr>
      </w:pPr>
    </w:p>
    <w:p w14:paraId="4E5845CC">
      <w:pPr>
        <w:spacing w:before="62" w:beforeLines="20" w:after="62" w:afterLines="20" w:line="400" w:lineRule="exact"/>
        <w:jc w:val="center"/>
        <w:rPr>
          <w:rFonts w:hint="eastAsia" w:ascii="仿宋" w:hAnsi="仿宋" w:eastAsia="仿宋" w:cs="仿宋"/>
          <w:color w:val="auto"/>
          <w:sz w:val="32"/>
          <w:szCs w:val="32"/>
          <w:highlight w:val="none"/>
        </w:rPr>
      </w:pPr>
    </w:p>
    <w:p w14:paraId="00FCEE96">
      <w:pPr>
        <w:tabs>
          <w:tab w:val="left" w:pos="7560"/>
        </w:tabs>
        <w:spacing w:before="62" w:beforeLines="20" w:after="62" w:afterLines="20" w:line="480" w:lineRule="auto"/>
        <w:rPr>
          <w:rFonts w:hint="eastAsia" w:ascii="仿宋" w:hAnsi="仿宋" w:eastAsia="仿宋" w:cs="仿宋"/>
          <w:b/>
          <w:bCs/>
          <w:color w:val="auto"/>
          <w:sz w:val="24"/>
          <w:highlight w:val="none"/>
        </w:rPr>
      </w:pPr>
    </w:p>
    <w:p w14:paraId="619262C7">
      <w:pPr>
        <w:tabs>
          <w:tab w:val="left" w:pos="7560"/>
        </w:tabs>
        <w:spacing w:before="62" w:beforeLines="20" w:after="62" w:afterLines="20" w:line="480" w:lineRule="auto"/>
        <w:rPr>
          <w:rFonts w:hint="eastAsia" w:ascii="仿宋" w:hAnsi="仿宋" w:eastAsia="仿宋" w:cs="仿宋"/>
          <w:b/>
          <w:bCs/>
          <w:color w:val="auto"/>
          <w:sz w:val="24"/>
          <w:highlight w:val="none"/>
        </w:rPr>
      </w:pPr>
    </w:p>
    <w:p w14:paraId="3674F7E0">
      <w:pPr>
        <w:tabs>
          <w:tab w:val="left" w:pos="7560"/>
        </w:tabs>
        <w:spacing w:before="62" w:beforeLines="20" w:after="62" w:afterLines="20" w:line="480" w:lineRule="auto"/>
        <w:rPr>
          <w:rFonts w:hint="eastAsia" w:ascii="仿宋" w:hAnsi="仿宋" w:eastAsia="仿宋" w:cs="仿宋"/>
          <w:b/>
          <w:bCs/>
          <w:color w:val="auto"/>
          <w:sz w:val="24"/>
          <w:highlight w:val="none"/>
        </w:rPr>
      </w:pPr>
    </w:p>
    <w:p w14:paraId="60546321">
      <w:pPr>
        <w:pStyle w:val="2"/>
        <w:rPr>
          <w:rFonts w:hint="eastAsia" w:ascii="仿宋" w:hAnsi="仿宋" w:eastAsia="仿宋" w:cs="仿宋"/>
          <w:color w:val="auto"/>
          <w:highlight w:val="none"/>
        </w:rPr>
      </w:pPr>
    </w:p>
    <w:p w14:paraId="46ACA594">
      <w:pPr>
        <w:tabs>
          <w:tab w:val="left" w:pos="7560"/>
        </w:tabs>
        <w:spacing w:before="62" w:beforeLines="20" w:after="62" w:afterLines="20" w:line="480" w:lineRule="auto"/>
        <w:rPr>
          <w:rFonts w:hint="eastAsia" w:ascii="仿宋" w:hAnsi="仿宋" w:eastAsia="仿宋" w:cs="仿宋"/>
          <w:b/>
          <w:bCs/>
          <w:color w:val="auto"/>
          <w:sz w:val="24"/>
          <w:highlight w:val="none"/>
        </w:rPr>
      </w:pPr>
    </w:p>
    <w:p w14:paraId="2DDC685D">
      <w:pPr>
        <w:tabs>
          <w:tab w:val="left" w:pos="7560"/>
        </w:tabs>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bCs/>
          <w:color w:val="auto"/>
          <w:sz w:val="30"/>
          <w:szCs w:val="30"/>
          <w:highlight w:val="none"/>
        </w:rPr>
        <w:t>委托方</w:t>
      </w:r>
      <w:r>
        <w:rPr>
          <w:rFonts w:hint="eastAsia" w:ascii="仿宋" w:hAnsi="仿宋" w:eastAsia="仿宋" w:cs="仿宋"/>
          <w:color w:val="auto"/>
          <w:sz w:val="30"/>
          <w:szCs w:val="30"/>
          <w:highlight w:val="none"/>
        </w:rPr>
        <w:t>：</w:t>
      </w:r>
      <w:r>
        <w:rPr>
          <w:rFonts w:hint="eastAsia" w:ascii="仿宋" w:hAnsi="仿宋" w:eastAsia="仿宋" w:cs="仿宋"/>
          <w:b/>
          <w:color w:val="auto"/>
          <w:sz w:val="30"/>
          <w:szCs w:val="30"/>
          <w:highlight w:val="none"/>
          <w:u w:val="single"/>
          <w:lang w:val="en-US" w:eastAsia="zh-CN"/>
        </w:rPr>
        <w:t>北京海创英才安居置业有限公司</w:t>
      </w:r>
    </w:p>
    <w:p w14:paraId="0B0ED30B">
      <w:pPr>
        <w:rPr>
          <w:rFonts w:hint="default" w:ascii="仿宋" w:hAnsi="仿宋" w:eastAsia="仿宋" w:cs="仿宋"/>
          <w:color w:val="auto"/>
          <w:sz w:val="30"/>
          <w:szCs w:val="30"/>
          <w:highlight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bCs/>
          <w:color w:val="auto"/>
          <w:sz w:val="30"/>
          <w:szCs w:val="30"/>
          <w:highlight w:val="none"/>
        </w:rPr>
        <w:t>受托方</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u w:val="single"/>
          <w:lang w:val="en-US" w:eastAsia="zh-CN"/>
        </w:rPr>
        <w:t>北京康正宏基房地产评估有限公司</w:t>
      </w:r>
    </w:p>
    <w:p w14:paraId="0F46D2B3">
      <w:pPr>
        <w:spacing w:before="48" w:beforeLines="20" w:after="48" w:afterLines="20" w:line="400" w:lineRule="exact"/>
        <w:jc w:val="center"/>
        <w:rPr>
          <w:rFonts w:hint="eastAsia" w:ascii="仿宋" w:hAnsi="仿宋" w:eastAsia="仿宋" w:cs="仿宋"/>
          <w:color w:val="auto"/>
          <w:sz w:val="30"/>
          <w:szCs w:val="30"/>
          <w:highlight w:val="none"/>
          <w:lang w:val="en-US"/>
        </w:rPr>
      </w:pPr>
      <w:r>
        <w:rPr>
          <w:rFonts w:hint="eastAsia" w:ascii="仿宋" w:hAnsi="仿宋" w:eastAsia="仿宋" w:cs="仿宋"/>
          <w:color w:val="auto"/>
          <w:sz w:val="30"/>
          <w:szCs w:val="30"/>
          <w:highlight w:val="none"/>
          <w:lang w:val="en-US" w:eastAsia="zh-CN"/>
        </w:rPr>
        <w:t>2026年度人才租赁住房租金评估合同</w:t>
      </w:r>
    </w:p>
    <w:p w14:paraId="76129950">
      <w:pPr>
        <w:tabs>
          <w:tab w:val="left" w:pos="7560"/>
        </w:tabs>
        <w:spacing w:before="313" w:beforeLines="100"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委托方：</w:t>
      </w:r>
      <w:r>
        <w:rPr>
          <w:rFonts w:hint="eastAsia" w:ascii="仿宋" w:hAnsi="仿宋" w:eastAsia="仿宋" w:cs="仿宋"/>
          <w:color w:val="auto"/>
          <w:sz w:val="24"/>
          <w:highlight w:val="none"/>
          <w:u w:val="single"/>
          <w:lang w:val="en-US" w:eastAsia="zh-CN"/>
        </w:rPr>
        <w:t xml:space="preserve">北京海创英才安居置业有限公司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以下简称甲方</w:t>
      </w:r>
      <w:r>
        <w:rPr>
          <w:rFonts w:hint="eastAsia" w:ascii="仿宋" w:hAnsi="仿宋" w:eastAsia="仿宋" w:cs="仿宋"/>
          <w:color w:val="auto"/>
          <w:sz w:val="24"/>
          <w:highlight w:val="none"/>
          <w:lang w:eastAsia="zh-CN"/>
        </w:rPr>
        <w:t>）</w:t>
      </w:r>
    </w:p>
    <w:p w14:paraId="2E3F3C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lang w:val="en-US" w:eastAsia="zh-CN"/>
        </w:rPr>
        <w:t xml:space="preserve">麻永刚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14:paraId="6125248B">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lang w:val="en-US" w:eastAsia="zh-CN"/>
        </w:rPr>
        <w:t xml:space="preserve">北京市北京经济技术开发区（大兴）瀛海镇南海家园二里12号楼一层190室 </w:t>
      </w:r>
      <w:r>
        <w:rPr>
          <w:rFonts w:hint="eastAsia" w:ascii="仿宋" w:hAnsi="仿宋" w:eastAsia="仿宋" w:cs="仿宋"/>
          <w:color w:val="auto"/>
          <w:sz w:val="24"/>
          <w:highlight w:val="none"/>
          <w:lang w:val="en-US" w:eastAsia="zh-CN"/>
        </w:rPr>
        <w:t xml:space="preserve"> </w:t>
      </w:r>
    </w:p>
    <w:p w14:paraId="3ADAD182">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010-57783303</w:t>
      </w:r>
    </w:p>
    <w:p w14:paraId="3ECCC21F">
      <w:pPr>
        <w:tabs>
          <w:tab w:val="left" w:pos="7560"/>
        </w:tabs>
        <w:spacing w:before="313" w:beforeLines="10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受托方：</w:t>
      </w:r>
      <w:r>
        <w:rPr>
          <w:rFonts w:hint="eastAsia" w:ascii="仿宋" w:hAnsi="仿宋" w:eastAsia="仿宋" w:cs="仿宋"/>
          <w:color w:val="auto"/>
          <w:sz w:val="24"/>
          <w:highlight w:val="none"/>
          <w:u w:val="single"/>
          <w:lang w:val="en-US" w:eastAsia="zh-CN"/>
        </w:rPr>
        <w:t>北京康正宏基房地产评估有限公司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以下简称乙方</w:t>
      </w:r>
      <w:r>
        <w:rPr>
          <w:rFonts w:hint="eastAsia" w:ascii="仿宋" w:hAnsi="仿宋" w:eastAsia="仿宋" w:cs="仿宋"/>
          <w:color w:val="auto"/>
          <w:sz w:val="24"/>
          <w:highlight w:val="none"/>
          <w:lang w:eastAsia="zh-CN"/>
        </w:rPr>
        <w:t>）</w:t>
      </w:r>
    </w:p>
    <w:p w14:paraId="4885DA8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齐宏</w:t>
      </w:r>
    </w:p>
    <w:p w14:paraId="2F5DC740">
      <w:pPr>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 xml:space="preserve">通讯地址:  </w:t>
      </w:r>
      <w:r>
        <w:rPr>
          <w:rFonts w:hint="eastAsia" w:ascii="仿宋" w:hAnsi="仿宋" w:eastAsia="仿宋" w:cs="仿宋"/>
          <w:color w:val="auto"/>
          <w:sz w:val="24"/>
          <w:highlight w:val="none"/>
          <w:u w:val="single"/>
        </w:rPr>
        <w:t xml:space="preserve">北京市朝阳区裕民路12号，中国国际科技会展中心B1003 </w:t>
      </w:r>
      <w:r>
        <w:rPr>
          <w:rFonts w:hint="eastAsia" w:ascii="仿宋" w:hAnsi="仿宋" w:eastAsia="仿宋" w:cs="仿宋"/>
          <w:color w:val="auto"/>
          <w:sz w:val="24"/>
          <w:highlight w:val="none"/>
          <w:u w:val="single"/>
          <w:lang w:val="en-US" w:eastAsia="zh-CN"/>
        </w:rPr>
        <w:t xml:space="preserve"> </w:t>
      </w:r>
    </w:p>
    <w:p w14:paraId="3288A992">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u w:val="single"/>
          <w:lang w:val="en-US" w:eastAsia="zh-CN"/>
        </w:rPr>
        <w:t>13911385320</w:t>
      </w:r>
    </w:p>
    <w:p w14:paraId="0D3347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依照《中华人民共和国民法典》、《中华人民共和国资产评估法》等法律、行政法规，经双方平等协商，特订立本合同，以资共同信守。</w:t>
      </w:r>
    </w:p>
    <w:p w14:paraId="54E60B4F">
      <w:pPr>
        <w:numPr>
          <w:ilvl w:val="0"/>
          <w:numId w:val="1"/>
        </w:numPr>
        <w:spacing w:after="48" w:afterLines="20" w:line="480" w:lineRule="auto"/>
        <w:ind w:left="1202" w:hanging="720"/>
        <w:rPr>
          <w:rFonts w:hint="eastAsia" w:ascii="仿宋" w:hAnsi="仿宋" w:eastAsia="仿宋" w:cs="仿宋"/>
          <w:b/>
          <w:bCs/>
          <w:color w:val="auto"/>
          <w:sz w:val="24"/>
          <w:highlight w:val="none"/>
          <w:u w:val="single"/>
        </w:rPr>
      </w:pPr>
      <w:r>
        <w:rPr>
          <w:rFonts w:hint="eastAsia" w:ascii="仿宋" w:hAnsi="仿宋" w:eastAsia="仿宋" w:cs="仿宋"/>
          <w:b/>
          <w:color w:val="auto"/>
          <w:sz w:val="24"/>
          <w:highlight w:val="none"/>
        </w:rPr>
        <w:t>委托</w:t>
      </w:r>
      <w:r>
        <w:rPr>
          <w:rFonts w:hint="eastAsia" w:ascii="仿宋" w:hAnsi="仿宋" w:eastAsia="仿宋" w:cs="仿宋"/>
          <w:b/>
          <w:color w:val="auto"/>
          <w:sz w:val="24"/>
          <w:highlight w:val="none"/>
          <w:lang w:val="en-US" w:eastAsia="zh-CN"/>
        </w:rPr>
        <w:t>评估</w:t>
      </w:r>
      <w:r>
        <w:rPr>
          <w:rFonts w:hint="eastAsia" w:ascii="仿宋" w:hAnsi="仿宋" w:eastAsia="仿宋" w:cs="仿宋"/>
          <w:b/>
          <w:color w:val="auto"/>
          <w:sz w:val="24"/>
          <w:highlight w:val="none"/>
        </w:rPr>
        <w:t>项目</w:t>
      </w:r>
      <w:r>
        <w:rPr>
          <w:rFonts w:hint="eastAsia" w:ascii="仿宋" w:hAnsi="仿宋" w:eastAsia="仿宋" w:cs="仿宋"/>
          <w:b/>
          <w:color w:val="auto"/>
          <w:sz w:val="24"/>
          <w:highlight w:val="none"/>
          <w:lang w:val="en-US" w:eastAsia="zh-CN"/>
        </w:rPr>
        <w:t>概况</w:t>
      </w:r>
      <w:r>
        <w:rPr>
          <w:rFonts w:hint="eastAsia" w:ascii="仿宋" w:hAnsi="仿宋" w:eastAsia="仿宋" w:cs="仿宋"/>
          <w:b/>
          <w:color w:val="auto"/>
          <w:sz w:val="24"/>
          <w:highlight w:val="none"/>
        </w:rPr>
        <w:t>：</w:t>
      </w:r>
    </w:p>
    <w:tbl>
      <w:tblPr>
        <w:tblStyle w:val="10"/>
        <w:tblW w:w="10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52"/>
        <w:gridCol w:w="1910"/>
        <w:gridCol w:w="3891"/>
        <w:gridCol w:w="2182"/>
      </w:tblGrid>
      <w:tr w14:paraId="6CE0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72FC">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A378">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项目名称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15F">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kern w:val="0"/>
                <w:sz w:val="22"/>
                <w:szCs w:val="22"/>
                <w:highlight w:val="none"/>
                <w:u w:val="none"/>
                <w:lang w:val="en-US" w:eastAsia="zh-CN" w:bidi="ar"/>
              </w:rPr>
              <w:t>评估日期</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C870">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z w:val="22"/>
                <w:szCs w:val="22"/>
                <w:highlight w:val="none"/>
                <w:u w:val="none"/>
              </w:rPr>
              <w:t>项目详细地址</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233E">
            <w:pPr>
              <w:keepNext w:val="0"/>
              <w:keepLines w:val="0"/>
              <w:widowControl/>
              <w:suppressLineNumbers w:val="0"/>
              <w:jc w:val="center"/>
              <w:textAlignment w:val="center"/>
              <w:rPr>
                <w:rFonts w:hint="eastAsia" w:ascii="仿宋" w:hAnsi="仿宋" w:eastAsia="仿宋" w:cs="仿宋"/>
                <w:b/>
                <w:bCs/>
                <w:i w:val="0"/>
                <w:iCs w:val="0"/>
                <w:color w:val="auto"/>
                <w:sz w:val="22"/>
                <w:szCs w:val="22"/>
                <w:highlight w:val="none"/>
                <w:u w:val="none"/>
              </w:rPr>
            </w:pPr>
            <w:r>
              <w:rPr>
                <w:rFonts w:hint="eastAsia" w:ascii="仿宋" w:hAnsi="仿宋" w:eastAsia="仿宋" w:cs="仿宋"/>
                <w:b/>
                <w:bCs/>
                <w:i w:val="0"/>
                <w:iCs w:val="0"/>
                <w:color w:val="auto"/>
                <w:sz w:val="22"/>
                <w:szCs w:val="22"/>
                <w:highlight w:val="none"/>
                <w:u w:val="none"/>
              </w:rPr>
              <w:t>类别数量</w:t>
            </w:r>
          </w:p>
        </w:tc>
      </w:tr>
      <w:tr w14:paraId="2BA0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F2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0ED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rPr>
              <w:t>亦嘉•麒麟赋A区</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109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各项目评估分不同时间完成。以甲方通知为准</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217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北京市大兴区瀛海镇集体经营性建设用地YZ00-0803-0012地块（经开区国际人才社区1号地块）</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6F4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住宅：304套</w:t>
            </w:r>
          </w:p>
        </w:tc>
      </w:tr>
      <w:tr w14:paraId="121E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48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8F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亦嘉•麒麟赋C区</w:t>
            </w:r>
          </w:p>
          <w:p w14:paraId="4E6D073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含车位、储藏室）</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4263">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各项目评估分不同时间完成。以甲方通知为准</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6AD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北京市大兴区瀛海镇集体经营性建设用地YZ00-0803-0015地块（经开区国际人才社区3号地块）</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589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住宅：638套</w:t>
            </w:r>
          </w:p>
          <w:p w14:paraId="173F4C6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(车位：475个</w:t>
            </w:r>
          </w:p>
          <w:p w14:paraId="33CBBAD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储藏室：104个)</w:t>
            </w:r>
          </w:p>
        </w:tc>
      </w:tr>
      <w:tr w14:paraId="4DB6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D7D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BE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亦嘉•麒麟赋D区</w:t>
            </w: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含车位）</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8789">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各项目评估分不同时间完成。以甲方通知为准</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E4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北京市大兴区瀛海镇集体经营性建设用地YZ00-0803-0018地块</w:t>
            </w:r>
          </w:p>
          <w:p w14:paraId="7AA3B5C6">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（经开区国际人才社区4号地块）</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236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住宅：3342套（暂定）</w:t>
            </w:r>
          </w:p>
          <w:p w14:paraId="65E8890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(车位：720个)</w:t>
            </w:r>
          </w:p>
        </w:tc>
      </w:tr>
      <w:tr w14:paraId="2826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CBC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17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亦嘉•麒麟赋E区</w:t>
            </w:r>
          </w:p>
          <w:p w14:paraId="033D61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w:t>
            </w:r>
            <w:r>
              <w:rPr>
                <w:rFonts w:hint="eastAsia" w:ascii="仿宋" w:hAnsi="仿宋" w:eastAsia="仿宋" w:cs="仿宋"/>
                <w:i w:val="0"/>
                <w:iCs w:val="0"/>
                <w:color w:val="auto"/>
                <w:sz w:val="22"/>
                <w:szCs w:val="22"/>
                <w:highlight w:val="none"/>
                <w:u w:val="none"/>
                <w:lang w:val="en-US" w:eastAsia="zh-CN"/>
              </w:rPr>
              <w:t>含车位、储藏室）</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8A5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各项目评估分不同时间完成。以甲方通知为准</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6230">
            <w:pPr>
              <w:keepNext w:val="0"/>
              <w:keepLines w:val="0"/>
              <w:widowControl/>
              <w:suppressLineNumbers w:val="0"/>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北京市大兴区瀛海镇集体经营性建设用地YZ00-0803-0017地块（经开区国际人才社区5号地块）</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259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住宅：1291套</w:t>
            </w:r>
          </w:p>
          <w:p w14:paraId="7AE88D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(车位：1246个</w:t>
            </w:r>
          </w:p>
          <w:p w14:paraId="79FD17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储藏室：162个)</w:t>
            </w:r>
          </w:p>
        </w:tc>
      </w:tr>
    </w:tbl>
    <w:p w14:paraId="490876E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评估</w:t>
      </w:r>
      <w:r>
        <w:rPr>
          <w:rFonts w:hint="eastAsia" w:ascii="仿宋" w:hAnsi="仿宋" w:eastAsia="仿宋" w:cs="仿宋"/>
          <w:b/>
          <w:color w:val="auto"/>
          <w:sz w:val="24"/>
          <w:highlight w:val="none"/>
        </w:rPr>
        <w:t>目的</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u w:val="single"/>
        </w:rPr>
        <w:t>为甲方确定上述</w:t>
      </w:r>
      <w:r>
        <w:rPr>
          <w:rFonts w:hint="eastAsia" w:ascii="仿宋" w:hAnsi="仿宋" w:eastAsia="仿宋" w:cs="仿宋"/>
          <w:b/>
          <w:bCs/>
          <w:color w:val="auto"/>
          <w:sz w:val="24"/>
          <w:highlight w:val="none"/>
          <w:u w:val="single"/>
          <w:lang w:val="en-US" w:eastAsia="zh-CN"/>
        </w:rPr>
        <w:t>租金</w:t>
      </w:r>
      <w:r>
        <w:rPr>
          <w:rFonts w:hint="eastAsia" w:ascii="仿宋" w:hAnsi="仿宋" w:eastAsia="仿宋" w:cs="仿宋"/>
          <w:b/>
          <w:bCs/>
          <w:color w:val="auto"/>
          <w:sz w:val="24"/>
          <w:highlight w:val="none"/>
          <w:u w:val="single"/>
        </w:rPr>
        <w:t>提供价格参考依据</w:t>
      </w:r>
      <w:r>
        <w:rPr>
          <w:rFonts w:hint="eastAsia" w:ascii="仿宋" w:hAnsi="仿宋" w:eastAsia="仿宋" w:cs="仿宋"/>
          <w:b/>
          <w:color w:val="auto"/>
          <w:sz w:val="24"/>
          <w:highlight w:val="none"/>
          <w:u w:val="single"/>
        </w:rPr>
        <w:t>。</w:t>
      </w:r>
    </w:p>
    <w:p w14:paraId="5B07C68C">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三、</w:t>
      </w:r>
      <w:r>
        <w:rPr>
          <w:rFonts w:hint="eastAsia" w:ascii="仿宋" w:hAnsi="仿宋" w:eastAsia="仿宋" w:cs="仿宋"/>
          <w:b/>
          <w:color w:val="auto"/>
          <w:sz w:val="24"/>
          <w:highlight w:val="none"/>
          <w:lang w:val="en-US" w:eastAsia="zh-CN"/>
        </w:rPr>
        <w:t>评估</w:t>
      </w:r>
      <w:r>
        <w:rPr>
          <w:rFonts w:hint="eastAsia" w:ascii="仿宋" w:hAnsi="仿宋" w:eastAsia="仿宋" w:cs="仿宋"/>
          <w:b/>
          <w:color w:val="auto"/>
          <w:sz w:val="24"/>
          <w:highlight w:val="none"/>
        </w:rPr>
        <w:t>对象和估价范围：</w:t>
      </w:r>
      <w:r>
        <w:rPr>
          <w:rFonts w:hint="eastAsia" w:ascii="仿宋" w:hAnsi="仿宋" w:eastAsia="仿宋" w:cs="仿宋"/>
          <w:color w:val="auto"/>
          <w:sz w:val="24"/>
          <w:highlight w:val="none"/>
          <w:lang w:val="en-US" w:eastAsia="zh-CN"/>
        </w:rPr>
        <w:t>甲方所管理的4个人才租赁住房项目所在区域的市场租金。</w:t>
      </w:r>
      <w:r>
        <w:rPr>
          <w:rFonts w:hint="eastAsia" w:ascii="仿宋" w:hAnsi="仿宋" w:eastAsia="仿宋" w:cs="仿宋"/>
          <w:color w:val="auto"/>
          <w:sz w:val="24"/>
          <w:highlight w:val="none"/>
        </w:rPr>
        <w:t xml:space="preserve">     </w:t>
      </w:r>
      <w:r>
        <w:rPr>
          <w:rFonts w:hint="eastAsia" w:ascii="仿宋" w:hAnsi="仿宋" w:eastAsia="仿宋" w:cs="仿宋"/>
          <w:b/>
          <w:color w:val="auto"/>
          <w:sz w:val="24"/>
          <w:szCs w:val="24"/>
          <w:highlight w:val="none"/>
        </w:rPr>
        <w:t xml:space="preserve"> </w:t>
      </w:r>
    </w:p>
    <w:p w14:paraId="2382FD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四、</w:t>
      </w:r>
      <w:r>
        <w:rPr>
          <w:rFonts w:hint="eastAsia" w:ascii="仿宋" w:hAnsi="仿宋" w:eastAsia="仿宋" w:cs="仿宋"/>
          <w:b/>
          <w:color w:val="auto"/>
          <w:sz w:val="24"/>
          <w:highlight w:val="none"/>
          <w:lang w:val="en-US" w:eastAsia="zh-CN"/>
        </w:rPr>
        <w:t>评估</w:t>
      </w:r>
      <w:r>
        <w:rPr>
          <w:rFonts w:hint="eastAsia" w:ascii="仿宋" w:hAnsi="仿宋" w:eastAsia="仿宋" w:cs="仿宋"/>
          <w:b/>
          <w:color w:val="auto"/>
          <w:sz w:val="24"/>
          <w:highlight w:val="none"/>
        </w:rPr>
        <w:t>时点：</w:t>
      </w:r>
      <w:r>
        <w:rPr>
          <w:rFonts w:hint="eastAsia" w:ascii="仿宋" w:hAnsi="仿宋" w:eastAsia="仿宋" w:cs="仿宋"/>
          <w:b/>
          <w:color w:val="auto"/>
          <w:sz w:val="24"/>
          <w:highlight w:val="none"/>
          <w:u w:val="single"/>
        </w:rPr>
        <w:t>各项目评估分不同时间完成。以甲方通知为准</w:t>
      </w:r>
    </w:p>
    <w:p w14:paraId="1400ED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color w:val="auto"/>
          <w:sz w:val="24"/>
          <w:highlight w:val="none"/>
          <w:u w:val="single"/>
          <w:lang w:eastAsia="zh-CN"/>
        </w:rPr>
      </w:pPr>
      <w:r>
        <w:rPr>
          <w:rFonts w:hint="eastAsia" w:ascii="仿宋" w:hAnsi="仿宋" w:eastAsia="仿宋" w:cs="仿宋"/>
          <w:b/>
          <w:color w:val="auto"/>
          <w:sz w:val="24"/>
          <w:highlight w:val="none"/>
        </w:rPr>
        <w:t>五、价值类型：</w:t>
      </w:r>
      <w:r>
        <w:rPr>
          <w:rFonts w:hint="eastAsia" w:ascii="仿宋" w:hAnsi="仿宋" w:eastAsia="仿宋" w:cs="仿宋"/>
          <w:b/>
          <w:color w:val="auto"/>
          <w:sz w:val="24"/>
          <w:highlight w:val="none"/>
          <w:u w:val="single"/>
        </w:rPr>
        <w:t xml:space="preserve"> 租金</w:t>
      </w:r>
      <w:r>
        <w:rPr>
          <w:rFonts w:hint="eastAsia" w:ascii="仿宋" w:hAnsi="仿宋" w:eastAsia="仿宋" w:cs="仿宋"/>
          <w:b/>
          <w:color w:val="auto"/>
          <w:sz w:val="24"/>
          <w:highlight w:val="none"/>
          <w:u w:val="single"/>
          <w:lang w:val="en-US" w:eastAsia="zh-CN"/>
        </w:rPr>
        <w:t>评估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eastAsia="zh-CN"/>
        </w:rPr>
        <w:t>。</w:t>
      </w:r>
    </w:p>
    <w:p w14:paraId="555D5124">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六、评估业务完成期限及成果要求</w:t>
      </w:r>
    </w:p>
    <w:p w14:paraId="2778A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1.合同签订后，乙方应在收到甲方提供相关资料</w:t>
      </w:r>
      <w:r>
        <w:rPr>
          <w:rStyle w:val="14"/>
          <w:rFonts w:hint="eastAsia" w:ascii="仿宋" w:hAnsi="仿宋" w:eastAsia="仿宋" w:cs="仿宋"/>
          <w:color w:val="auto"/>
          <w:sz w:val="24"/>
          <w:highlight w:val="none"/>
        </w:rPr>
        <w:t>（具体以甲方另行提供为准，下同）</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内，完成评估工作</w:t>
      </w:r>
      <w:r>
        <w:rPr>
          <w:rFonts w:hint="eastAsia" w:ascii="仿宋" w:hAnsi="仿宋" w:eastAsia="仿宋" w:cs="仿宋"/>
          <w:color w:val="auto"/>
          <w:sz w:val="24"/>
          <w:highlight w:val="none"/>
          <w:lang w:val="en-US" w:eastAsia="zh-CN"/>
        </w:rPr>
        <w:t>并提交评估报告</w:t>
      </w:r>
      <w:r>
        <w:rPr>
          <w:rFonts w:hint="eastAsia" w:ascii="仿宋" w:hAnsi="仿宋" w:eastAsia="仿宋" w:cs="仿宋"/>
          <w:color w:val="auto"/>
          <w:sz w:val="24"/>
          <w:highlight w:val="none"/>
        </w:rPr>
        <w:t>。</w:t>
      </w:r>
    </w:p>
    <w:p w14:paraId="458BCB8B">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评估报告</w:t>
      </w:r>
      <w:r>
        <w:rPr>
          <w:rFonts w:hint="eastAsia" w:ascii="仿宋" w:hAnsi="仿宋" w:eastAsia="仿宋" w:cs="仿宋"/>
          <w:color w:val="auto"/>
          <w:sz w:val="24"/>
          <w:highlight w:val="none"/>
        </w:rPr>
        <w:t>成果要求</w:t>
      </w:r>
    </w:p>
    <w:p w14:paraId="25BD43C8">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出具《不动产估价报告书》3份及相应的电子版（PDF）1份，每份《不动产估价报告书》均应体现每个单独项目的租金评估价格，具体项目划分如下：</w:t>
      </w:r>
    </w:p>
    <w:p w14:paraId="612F945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（1）《不动产估价报告书》1：亦嘉•麒麟赋A区（1号地）</w:t>
      </w:r>
    </w:p>
    <w:p w14:paraId="0A33E2E7">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（2）《不动产估价报告书》2：亦嘉•麒麟赋C区（3号地）（含车位、储藏室）</w:t>
      </w:r>
    </w:p>
    <w:p w14:paraId="77F959DA">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（3）《不动产估价报告书》3：亦嘉•麒麟赋D区（4号地）（含车位）</w:t>
      </w:r>
    </w:p>
    <w:p w14:paraId="30E25FFA">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（4）《不动产估价报告书》4：亦嘉•麒麟赋E区（5号地）（含车位、储藏室）</w:t>
      </w:r>
    </w:p>
    <w:p w14:paraId="4B9C9AC6">
      <w:pPr>
        <w:tabs>
          <w:tab w:val="left" w:pos="720"/>
        </w:tabs>
        <w:spacing w:before="48" w:beforeLines="20" w:after="48" w:afterLines="20"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color w:val="auto"/>
          <w:sz w:val="24"/>
          <w:highlight w:val="none"/>
        </w:rPr>
        <w:t>评估服务费及支付方式</w:t>
      </w:r>
    </w:p>
    <w:p w14:paraId="69FED8F0">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 本合同为</w:t>
      </w:r>
      <w:r>
        <w:rPr>
          <w:rFonts w:hint="eastAsia" w:ascii="仿宋" w:hAnsi="仿宋" w:eastAsia="仿宋" w:cs="仿宋"/>
          <w:color w:val="auto"/>
          <w:sz w:val="24"/>
          <w:highlight w:val="none"/>
          <w:u w:val="single"/>
        </w:rPr>
        <w:t>固定</w:t>
      </w:r>
      <w:r>
        <w:rPr>
          <w:rFonts w:hint="eastAsia" w:ascii="仿宋" w:hAnsi="仿宋" w:eastAsia="仿宋" w:cs="仿宋"/>
          <w:color w:val="auto"/>
          <w:sz w:val="24"/>
          <w:highlight w:val="none"/>
          <w:u w:val="single"/>
          <w:lang w:val="en-US" w:eastAsia="zh-CN"/>
        </w:rPr>
        <w:t>单</w:t>
      </w:r>
      <w:r>
        <w:rPr>
          <w:rFonts w:hint="eastAsia" w:ascii="仿宋" w:hAnsi="仿宋" w:eastAsia="仿宋" w:cs="仿宋"/>
          <w:color w:val="auto"/>
          <w:sz w:val="24"/>
          <w:highlight w:val="none"/>
          <w:u w:val="single"/>
        </w:rPr>
        <w:t>价</w:t>
      </w:r>
      <w:r>
        <w:rPr>
          <w:rFonts w:hint="eastAsia" w:ascii="仿宋" w:hAnsi="仿宋" w:eastAsia="仿宋" w:cs="仿宋"/>
          <w:color w:val="auto"/>
          <w:sz w:val="24"/>
          <w:highlight w:val="none"/>
          <w:u w:val="none"/>
        </w:rPr>
        <w:t>合同</w:t>
      </w:r>
      <w:r>
        <w:rPr>
          <w:rFonts w:hint="eastAsia" w:ascii="仿宋" w:hAnsi="仿宋" w:eastAsia="仿宋" w:cs="仿宋"/>
          <w:color w:val="auto"/>
          <w:sz w:val="24"/>
          <w:highlight w:val="none"/>
        </w:rPr>
        <w:t>。根据国家有关规定和此次评估的目的及项目评估工作的繁简程度，依据</w:t>
      </w:r>
      <w:r>
        <w:rPr>
          <w:rFonts w:hint="eastAsia" w:ascii="仿宋" w:hAnsi="仿宋" w:eastAsia="仿宋" w:cs="仿宋"/>
          <w:color w:val="auto"/>
          <w:sz w:val="24"/>
          <w:highlight w:val="none"/>
          <w:lang w:val="en-US" w:eastAsia="zh-CN"/>
        </w:rPr>
        <w:t>甲</w:t>
      </w:r>
      <w:r>
        <w:rPr>
          <w:rFonts w:hint="eastAsia" w:ascii="仿宋" w:hAnsi="仿宋" w:eastAsia="仿宋" w:cs="仿宋"/>
          <w:color w:val="auto"/>
          <w:sz w:val="24"/>
          <w:highlight w:val="none"/>
        </w:rPr>
        <w:t>方要求出具</w:t>
      </w:r>
      <w:r>
        <w:rPr>
          <w:rFonts w:hint="eastAsia" w:ascii="仿宋" w:hAnsi="仿宋" w:eastAsia="仿宋" w:cs="仿宋"/>
          <w:color w:val="auto"/>
          <w:sz w:val="24"/>
          <w:highlight w:val="none"/>
          <w:lang w:val="en-US" w:eastAsia="zh-CN"/>
        </w:rPr>
        <w:t>评估报告</w:t>
      </w:r>
      <w:r>
        <w:rPr>
          <w:rFonts w:hint="eastAsia" w:ascii="仿宋" w:hAnsi="仿宋" w:eastAsia="仿宋" w:cs="仿宋"/>
          <w:color w:val="auto"/>
          <w:sz w:val="24"/>
          <w:highlight w:val="none"/>
        </w:rPr>
        <w:t>，本次评估服务费合计为人民币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val="en-US" w:eastAsia="zh-CN"/>
        </w:rPr>
        <w:t>小写：</w:t>
      </w:r>
      <w:r>
        <w:rPr>
          <w:rFonts w:hint="eastAsia" w:ascii="仿宋" w:hAnsi="仿宋" w:eastAsia="仿宋" w:cs="仿宋"/>
          <w:color w:val="auto"/>
          <w:sz w:val="24"/>
          <w:highlight w:val="none"/>
          <w:u w:val="single"/>
          <w:lang w:val="en-US" w:eastAsia="zh-CN"/>
        </w:rPr>
        <w:t>42000</w:t>
      </w: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lang w:val="en-US" w:eastAsia="zh-CN"/>
        </w:rPr>
        <w:t>肆万贰仟</w:t>
      </w:r>
      <w:r>
        <w:rPr>
          <w:rFonts w:hint="eastAsia" w:ascii="仿宋" w:hAnsi="仿宋" w:eastAsia="仿宋" w:cs="仿宋"/>
          <w:color w:val="auto"/>
          <w:sz w:val="24"/>
          <w:highlight w:val="none"/>
        </w:rPr>
        <w:t>元整），其中不含税金额：</w:t>
      </w:r>
      <w:r>
        <w:rPr>
          <w:rFonts w:hint="eastAsia" w:ascii="仿宋" w:hAnsi="仿宋" w:eastAsia="仿宋" w:cs="仿宋"/>
          <w:color w:val="auto"/>
          <w:sz w:val="24"/>
          <w:highlight w:val="none"/>
          <w:u w:val="single"/>
          <w:lang w:val="en-US" w:eastAsia="zh-CN"/>
        </w:rPr>
        <w:t>39622.64</w:t>
      </w:r>
      <w:r>
        <w:rPr>
          <w:rFonts w:hint="eastAsia" w:ascii="仿宋" w:hAnsi="仿宋" w:eastAsia="仿宋" w:cs="仿宋"/>
          <w:color w:val="auto"/>
          <w:sz w:val="24"/>
          <w:highlight w:val="none"/>
        </w:rPr>
        <w:t>元，税金为：</w:t>
      </w:r>
      <w:r>
        <w:rPr>
          <w:rFonts w:hint="eastAsia" w:ascii="仿宋" w:hAnsi="仿宋" w:eastAsia="仿宋" w:cs="仿宋"/>
          <w:color w:val="auto"/>
          <w:sz w:val="24"/>
          <w:highlight w:val="none"/>
          <w:u w:val="single"/>
          <w:lang w:val="en-US" w:eastAsia="zh-CN"/>
        </w:rPr>
        <w:t>2377.36</w:t>
      </w:r>
      <w:r>
        <w:rPr>
          <w:rFonts w:hint="eastAsia" w:ascii="仿宋" w:hAnsi="仿宋" w:eastAsia="仿宋" w:cs="仿宋"/>
          <w:color w:val="auto"/>
          <w:sz w:val="24"/>
          <w:highlight w:val="none"/>
        </w:rPr>
        <w:t>元，税率：</w:t>
      </w:r>
      <w:r>
        <w:rPr>
          <w:rFonts w:hint="eastAsia" w:ascii="仿宋" w:hAnsi="仿宋" w:eastAsia="仿宋" w:cs="仿宋"/>
          <w:color w:val="auto"/>
          <w:sz w:val="24"/>
          <w:highlight w:val="none"/>
          <w:u w:val="single"/>
          <w:lang w:val="en-US" w:eastAsia="zh-CN"/>
        </w:rPr>
        <w:t xml:space="preserve">6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各项目评估费用详见附件一：报价清单明细</w:t>
      </w:r>
    </w:p>
    <w:p w14:paraId="532591EB">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甲方支付的上述评估</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费包含税金、乙方的差旅费、食宿等为完成本合同项下评估工作的全部费用，</w:t>
      </w:r>
      <w:r>
        <w:rPr>
          <w:rFonts w:hint="eastAsia" w:ascii="仿宋" w:hAnsi="仿宋" w:eastAsia="仿宋" w:cs="仿宋"/>
          <w:color w:val="auto"/>
          <w:sz w:val="24"/>
          <w:highlight w:val="none"/>
          <w:lang w:val="en-US" w:eastAsia="zh-CN"/>
        </w:rPr>
        <w:t>除此之外，</w:t>
      </w:r>
      <w:r>
        <w:rPr>
          <w:rFonts w:hint="eastAsia" w:ascii="仿宋" w:hAnsi="仿宋" w:eastAsia="仿宋" w:cs="仿宋"/>
          <w:color w:val="auto"/>
          <w:sz w:val="24"/>
          <w:highlight w:val="none"/>
        </w:rPr>
        <w:t>甲方无需再向乙方支付任何费用。</w:t>
      </w:r>
    </w:p>
    <w:p w14:paraId="2CB5E863">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2.支付方式：</w:t>
      </w:r>
      <w:r>
        <w:rPr>
          <w:rFonts w:hint="eastAsia" w:ascii="仿宋" w:hAnsi="仿宋" w:eastAsia="仿宋" w:cs="仿宋"/>
          <w:color w:val="auto"/>
          <w:sz w:val="24"/>
          <w:highlight w:val="none"/>
          <w:u w:val="single"/>
        </w:rPr>
        <w:t>乙方提交</w:t>
      </w:r>
      <w:r>
        <w:rPr>
          <w:rFonts w:hint="eastAsia" w:ascii="仿宋" w:hAnsi="仿宋" w:eastAsia="仿宋" w:cs="仿宋"/>
          <w:color w:val="auto"/>
          <w:sz w:val="24"/>
          <w:highlight w:val="none"/>
          <w:u w:val="single"/>
          <w:lang w:val="en-US" w:eastAsia="zh-CN"/>
        </w:rPr>
        <w:t>所有</w:t>
      </w:r>
      <w:r>
        <w:rPr>
          <w:rFonts w:hint="eastAsia" w:ascii="仿宋" w:hAnsi="仿宋" w:eastAsia="仿宋" w:cs="仿宋"/>
          <w:color w:val="auto"/>
          <w:sz w:val="24"/>
          <w:highlight w:val="none"/>
          <w:u w:val="single"/>
        </w:rPr>
        <w:t>正式版</w:t>
      </w:r>
      <w:r>
        <w:rPr>
          <w:rFonts w:hint="eastAsia" w:ascii="仿宋" w:hAnsi="仿宋" w:eastAsia="仿宋" w:cs="仿宋"/>
          <w:color w:val="auto"/>
          <w:sz w:val="24"/>
          <w:highlight w:val="none"/>
          <w:u w:val="single"/>
          <w:lang w:val="en-US" w:eastAsia="zh-CN"/>
        </w:rPr>
        <w:t>评估报告</w:t>
      </w:r>
      <w:r>
        <w:rPr>
          <w:rFonts w:hint="eastAsia" w:ascii="仿宋" w:hAnsi="仿宋" w:eastAsia="仿宋" w:cs="仿宋"/>
          <w:color w:val="auto"/>
          <w:sz w:val="24"/>
          <w:highlight w:val="none"/>
          <w:u w:val="single"/>
        </w:rPr>
        <w:t>并经</w:t>
      </w:r>
      <w:r>
        <w:rPr>
          <w:rFonts w:hint="eastAsia" w:ascii="仿宋" w:hAnsi="仿宋" w:eastAsia="仿宋" w:cs="仿宋"/>
          <w:color w:val="auto"/>
          <w:sz w:val="24"/>
          <w:highlight w:val="none"/>
          <w:u w:val="single"/>
          <w:lang w:val="en-US" w:eastAsia="zh-CN"/>
        </w:rPr>
        <w:t>甲方确认</w:t>
      </w:r>
      <w:r>
        <w:rPr>
          <w:rFonts w:hint="eastAsia" w:ascii="仿宋" w:hAnsi="仿宋" w:eastAsia="仿宋" w:cs="仿宋"/>
          <w:color w:val="auto"/>
          <w:sz w:val="24"/>
          <w:highlight w:val="none"/>
          <w:u w:val="single"/>
        </w:rPr>
        <w:t>后</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双方办理结算，结算协议签订后</w:t>
      </w:r>
      <w:r>
        <w:rPr>
          <w:rFonts w:hint="eastAsia" w:ascii="仿宋" w:hAnsi="仿宋" w:eastAsia="仿宋" w:cs="仿宋"/>
          <w:color w:val="auto"/>
          <w:sz w:val="24"/>
          <w:highlight w:val="none"/>
          <w:u w:val="single"/>
        </w:rPr>
        <w:t>15个工作日内，甲方</w:t>
      </w:r>
      <w:r>
        <w:rPr>
          <w:rFonts w:hint="eastAsia" w:ascii="仿宋" w:hAnsi="仿宋" w:eastAsia="仿宋" w:cs="仿宋"/>
          <w:color w:val="auto"/>
          <w:sz w:val="24"/>
          <w:highlight w:val="none"/>
          <w:u w:val="single"/>
          <w:lang w:val="en-US" w:eastAsia="zh-CN"/>
        </w:rPr>
        <w:t>向乙方</w:t>
      </w:r>
      <w:r>
        <w:rPr>
          <w:rFonts w:hint="eastAsia" w:ascii="仿宋" w:hAnsi="仿宋" w:eastAsia="仿宋" w:cs="仿宋"/>
          <w:color w:val="auto"/>
          <w:sz w:val="24"/>
          <w:highlight w:val="none"/>
          <w:u w:val="single"/>
        </w:rPr>
        <w:t>支付</w:t>
      </w:r>
      <w:r>
        <w:rPr>
          <w:rFonts w:hint="eastAsia" w:ascii="仿宋" w:hAnsi="仿宋" w:eastAsia="仿宋" w:cs="仿宋"/>
          <w:color w:val="auto"/>
          <w:sz w:val="24"/>
          <w:highlight w:val="none"/>
          <w:u w:val="single"/>
          <w:lang w:val="en-US" w:eastAsia="zh-CN"/>
        </w:rPr>
        <w:t>结算价款的100%</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甲方付款前，乙方应按甲方要求提供合法等额有效的增值税专用发票（开发票前，需与甲方财务部门核实发票备注明细，否则，乙方自行承担由此造成的损失），若乙方延迟交付发票，甲方可推迟付款且无需承担任何违约责任。</w:t>
      </w:r>
    </w:p>
    <w:p w14:paraId="36678125">
      <w:pPr>
        <w:tabs>
          <w:tab w:val="left" w:pos="720"/>
        </w:tabs>
        <w:spacing w:line="360" w:lineRule="auto"/>
        <w:ind w:firstLine="480" w:firstLineChars="200"/>
        <w:rPr>
          <w:rFonts w:hint="eastAsia" w:ascii="仿宋" w:hAnsi="仿宋" w:eastAsia="仿宋" w:cs="仿宋"/>
          <w:b/>
          <w:bCs/>
          <w:color w:val="auto"/>
          <w:sz w:val="24"/>
          <w:highlight w:val="none"/>
          <w:u w:val="singl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u w:val="single"/>
        </w:rPr>
        <w:t>如本合同因甲方原因而</w:t>
      </w:r>
      <w:r>
        <w:rPr>
          <w:rFonts w:hint="eastAsia" w:ascii="仿宋" w:hAnsi="仿宋" w:eastAsia="仿宋" w:cs="仿宋"/>
          <w:b/>
          <w:bCs/>
          <w:color w:val="auto"/>
          <w:sz w:val="24"/>
          <w:highlight w:val="none"/>
          <w:u w:val="single"/>
          <w:lang w:val="en-US" w:eastAsia="zh-CN"/>
        </w:rPr>
        <w:t>提前终</w:t>
      </w:r>
      <w:r>
        <w:rPr>
          <w:rFonts w:hint="eastAsia" w:ascii="仿宋" w:hAnsi="仿宋" w:eastAsia="仿宋" w:cs="仿宋"/>
          <w:b/>
          <w:bCs/>
          <w:color w:val="auto"/>
          <w:sz w:val="24"/>
          <w:highlight w:val="none"/>
          <w:u w:val="single"/>
        </w:rPr>
        <w:t>止，</w:t>
      </w:r>
      <w:r>
        <w:rPr>
          <w:rFonts w:hint="eastAsia" w:ascii="仿宋" w:hAnsi="仿宋" w:eastAsia="仿宋" w:cs="仿宋"/>
          <w:b/>
          <w:bCs/>
          <w:color w:val="auto"/>
          <w:sz w:val="24"/>
          <w:highlight w:val="none"/>
          <w:u w:val="single"/>
          <w:lang w:val="en-US" w:eastAsia="zh-CN"/>
        </w:rPr>
        <w:t>乙方确认，</w:t>
      </w:r>
      <w:r>
        <w:rPr>
          <w:rFonts w:hint="eastAsia" w:ascii="仿宋" w:hAnsi="仿宋" w:eastAsia="仿宋" w:cs="仿宋"/>
          <w:b/>
          <w:bCs/>
          <w:color w:val="auto"/>
          <w:sz w:val="24"/>
          <w:highlight w:val="none"/>
          <w:u w:val="single"/>
        </w:rPr>
        <w:t>甲方</w:t>
      </w:r>
      <w:r>
        <w:rPr>
          <w:rFonts w:hint="eastAsia" w:ascii="仿宋" w:hAnsi="仿宋" w:eastAsia="仿宋" w:cs="仿宋"/>
          <w:b/>
          <w:bCs/>
          <w:color w:val="auto"/>
          <w:sz w:val="24"/>
          <w:highlight w:val="none"/>
          <w:u w:val="single"/>
          <w:lang w:val="en-US" w:eastAsia="zh-CN"/>
        </w:rPr>
        <w:t>该行为不属于违约行为，也无需</w:t>
      </w:r>
      <w:r>
        <w:rPr>
          <w:rFonts w:hint="eastAsia" w:ascii="仿宋" w:hAnsi="仿宋" w:eastAsia="仿宋" w:cs="仿宋"/>
          <w:b/>
          <w:bCs/>
          <w:color w:val="auto"/>
          <w:sz w:val="24"/>
          <w:highlight w:val="none"/>
          <w:u w:val="single"/>
        </w:rPr>
        <w:t>承担任何违约责任。双方根据乙方实际完成的工作量另行协商评估费金额</w:t>
      </w:r>
      <w:r>
        <w:rPr>
          <w:rFonts w:hint="eastAsia" w:ascii="仿宋" w:hAnsi="仿宋" w:eastAsia="仿宋" w:cs="仿宋"/>
          <w:b/>
          <w:bCs/>
          <w:color w:val="auto"/>
          <w:sz w:val="24"/>
          <w:highlight w:val="none"/>
          <w:u w:val="single"/>
          <w:lang w:val="en-US" w:eastAsia="zh-CN"/>
        </w:rPr>
        <w:t>即可。</w:t>
      </w:r>
      <w:r>
        <w:rPr>
          <w:rFonts w:hint="eastAsia" w:ascii="仿宋" w:hAnsi="仿宋" w:eastAsia="仿宋" w:cs="仿宋"/>
          <w:b/>
          <w:bCs/>
          <w:color w:val="auto"/>
          <w:sz w:val="24"/>
          <w:highlight w:val="none"/>
          <w:u w:val="single"/>
        </w:rPr>
        <w:t>本合同其他条款与前述约定相冲突的以前述约定为准。</w:t>
      </w:r>
    </w:p>
    <w:p w14:paraId="34EBF65C">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4.乙方收款信息如下：</w:t>
      </w:r>
    </w:p>
    <w:p w14:paraId="5E8BF383">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户    名：北京康正宏基房地产评估有限公司</w:t>
      </w:r>
      <w:r>
        <w:rPr>
          <w:rFonts w:hint="eastAsia" w:ascii="仿宋" w:hAnsi="仿宋" w:eastAsia="仿宋" w:cs="仿宋"/>
          <w:color w:val="auto"/>
          <w:sz w:val="24"/>
          <w:highlight w:val="none"/>
          <w:lang w:val="en-US" w:eastAsia="zh-CN"/>
        </w:rPr>
        <w:t xml:space="preserve">   </w:t>
      </w:r>
    </w:p>
    <w:p w14:paraId="007BF02E">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开户银行：交通银行北京和平里支行</w:t>
      </w:r>
      <w:r>
        <w:rPr>
          <w:rFonts w:hint="eastAsia" w:ascii="仿宋" w:hAnsi="仿宋" w:eastAsia="仿宋" w:cs="仿宋"/>
          <w:color w:val="auto"/>
          <w:sz w:val="24"/>
          <w:highlight w:val="none"/>
          <w:lang w:val="en-US" w:eastAsia="zh-CN"/>
        </w:rPr>
        <w:t xml:space="preserve">  </w:t>
      </w:r>
    </w:p>
    <w:p w14:paraId="3A5F4FD0">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行    号：交224 </w:t>
      </w:r>
      <w:r>
        <w:rPr>
          <w:rFonts w:hint="eastAsia" w:ascii="仿宋" w:hAnsi="仿宋" w:eastAsia="仿宋" w:cs="仿宋"/>
          <w:color w:val="auto"/>
          <w:sz w:val="24"/>
          <w:highlight w:val="none"/>
          <w:lang w:val="en-US" w:eastAsia="zh-CN"/>
        </w:rPr>
        <w:t xml:space="preserve">   </w:t>
      </w:r>
    </w:p>
    <w:p w14:paraId="2C554BC0">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开户账号：110060739012015026873 </w:t>
      </w:r>
      <w:r>
        <w:rPr>
          <w:rFonts w:hint="eastAsia" w:ascii="仿宋" w:hAnsi="仿宋" w:eastAsia="仿宋" w:cs="仿宋"/>
          <w:color w:val="auto"/>
          <w:sz w:val="24"/>
          <w:highlight w:val="none"/>
          <w:lang w:val="en-US" w:eastAsia="zh-CN"/>
        </w:rPr>
        <w:t xml:space="preserve">  </w:t>
      </w:r>
    </w:p>
    <w:p w14:paraId="145B14AE">
      <w:pPr>
        <w:tabs>
          <w:tab w:val="left" w:pos="720"/>
        </w:tabs>
        <w:spacing w:before="48" w:beforeLines="20" w:after="48" w:afterLines="20"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八、双方的权利与义务</w:t>
      </w:r>
    </w:p>
    <w:p w14:paraId="31B2CDCC">
      <w:pPr>
        <w:tabs>
          <w:tab w:val="left" w:pos="720"/>
        </w:tabs>
        <w:spacing w:before="48" w:beforeLines="20" w:after="48" w:afterLines="20" w:line="360" w:lineRule="auto"/>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（一） 甲方</w:t>
      </w:r>
    </w:p>
    <w:p w14:paraId="25294545">
      <w:pPr>
        <w:numPr>
          <w:ilvl w:val="0"/>
          <w:numId w:val="2"/>
        </w:num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及时为乙方如实提供评估所必要的估价对象资料，并对其所提供资料的合法性、真实性、完整性、有效性承担法律责任。</w:t>
      </w:r>
    </w:p>
    <w:p w14:paraId="77D3CB5D">
      <w:pPr>
        <w:numPr>
          <w:ilvl w:val="0"/>
          <w:numId w:val="2"/>
        </w:numPr>
        <w:spacing w:line="360" w:lineRule="auto"/>
        <w:ind w:left="0" w:leftChars="0"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协助乙方估价人员收集估价所必要的资料及完成现场查看事宜，确保在查看现场时所指示的估价对象实物与所提供估价对象资料所指向的房地产（土地）一致。</w:t>
      </w:r>
    </w:p>
    <w:p w14:paraId="7EF4ADB3">
      <w:pPr>
        <w:numPr>
          <w:ilvl w:val="0"/>
          <w:numId w:val="2"/>
        </w:numPr>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在不影响乙方独立、公正性的前提下，可了解乙方估价工作进度。</w:t>
      </w:r>
    </w:p>
    <w:p w14:paraId="34CCFC67">
      <w:pPr>
        <w:numPr>
          <w:ilvl w:val="0"/>
          <w:numId w:val="2"/>
        </w:num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甲方自接到乙方提交的</w:t>
      </w:r>
      <w:r>
        <w:rPr>
          <w:rFonts w:hint="eastAsia" w:ascii="仿宋" w:hAnsi="仿宋" w:eastAsia="仿宋" w:cs="仿宋"/>
          <w:color w:val="auto"/>
          <w:sz w:val="24"/>
          <w:highlight w:val="none"/>
          <w:lang w:val="en-US" w:eastAsia="zh-CN"/>
        </w:rPr>
        <w:t>评估报告</w:t>
      </w:r>
      <w:r>
        <w:rPr>
          <w:rFonts w:hint="eastAsia" w:ascii="仿宋" w:hAnsi="仿宋" w:eastAsia="仿宋" w:cs="仿宋"/>
          <w:color w:val="auto"/>
          <w:sz w:val="24"/>
          <w:highlight w:val="none"/>
        </w:rPr>
        <w:t>之日起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个工作日内，如对估价结果产生异议，可书面向乙方提出复估或重估申请，乙方应当根据甲方提出的异议在甲方要求期限内进行免费复估或重估，乙方应当配合。</w:t>
      </w:r>
    </w:p>
    <w:p w14:paraId="64ED3F26">
      <w:pPr>
        <w:numPr>
          <w:ilvl w:val="0"/>
          <w:numId w:val="3"/>
        </w:numPr>
        <w:tabs>
          <w:tab w:val="left" w:pos="720"/>
        </w:tabs>
        <w:spacing w:line="360" w:lineRule="auto"/>
        <w:ind w:left="0" w:leftChars="0" w:firstLine="0" w:firstLineChars="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rPr>
        <w:tab/>
      </w:r>
    </w:p>
    <w:p w14:paraId="40B2C88F">
      <w:pPr>
        <w:numPr>
          <w:ilvl w:val="0"/>
          <w:numId w:val="4"/>
        </w:numPr>
        <w:tabs>
          <w:tab w:val="left" w:pos="720"/>
        </w:tabs>
        <w:spacing w:line="360" w:lineRule="auto"/>
        <w:ind w:left="0" w:leftChars="0"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color w:val="auto"/>
          <w:sz w:val="24"/>
          <w:highlight w:val="none"/>
        </w:rPr>
        <w:t>乙方有权要求甲方提供与估价对象相关的必要资料，以及为执行公允的评估程序所需的必要协助。</w:t>
      </w:r>
    </w:p>
    <w:p w14:paraId="5713F1FC">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依照独立、客观、公正的原则进行评估，认真执行有关法律和法规，对出具的《评估报告书》承担相应的法律责任。</w:t>
      </w:r>
    </w:p>
    <w:p w14:paraId="6CF58F55">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参与本项目的估价人员与估价对象相关当事人存在利害关系的，应当主动回避。</w:t>
      </w:r>
    </w:p>
    <w:p w14:paraId="3AE124EB">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在甲方提供合法、真实、完整、有效资料的前提下，对估价结果的客观、公正承担法律责任。</w:t>
      </w:r>
    </w:p>
    <w:p w14:paraId="76069313">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严格保守估价过程中知悉的商业秘密，妥善保管甲方提供的相关资料，未经甲方同意，不得公开或提供给第三方。</w:t>
      </w:r>
    </w:p>
    <w:p w14:paraId="640F461C">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highlight w:val="none"/>
        </w:rPr>
      </w:pPr>
      <w:r>
        <w:rPr>
          <w:rFonts w:hint="eastAsia" w:ascii="仿宋" w:hAnsi="仿宋" w:eastAsia="仿宋" w:cs="仿宋"/>
          <w:color w:val="auto"/>
          <w:sz w:val="24"/>
          <w:szCs w:val="24"/>
          <w:highlight w:val="none"/>
        </w:rPr>
        <w:t>收取甲方估价费用前应提供正式发票。</w:t>
      </w:r>
    </w:p>
    <w:p w14:paraId="1CF3868F">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highlight w:val="none"/>
        </w:rPr>
      </w:pPr>
      <w:r>
        <w:rPr>
          <w:rFonts w:hint="eastAsia" w:ascii="仿宋" w:hAnsi="仿宋" w:eastAsia="仿宋" w:cs="仿宋"/>
          <w:color w:val="auto"/>
          <w:sz w:val="24"/>
          <w:highlight w:val="none"/>
        </w:rPr>
        <w:t>如甲方提出复估或重估申请，乙方应在收到甲方复估或重估书面申请后</w:t>
      </w:r>
      <w:r>
        <w:rPr>
          <w:rFonts w:hint="eastAsia" w:ascii="仿宋" w:hAnsi="仿宋" w:eastAsia="仿宋" w:cs="仿宋"/>
          <w:color w:val="auto"/>
          <w:sz w:val="24"/>
          <w:highlight w:val="none"/>
          <w:u w:val="single"/>
        </w:rPr>
        <w:t xml:space="preserve"> 在甲方指定期限内</w:t>
      </w:r>
      <w:r>
        <w:rPr>
          <w:rFonts w:hint="eastAsia" w:ascii="仿宋" w:hAnsi="仿宋" w:eastAsia="仿宋" w:cs="仿宋"/>
          <w:color w:val="auto"/>
          <w:sz w:val="24"/>
          <w:highlight w:val="none"/>
        </w:rPr>
        <w:t>完成估价对象的复估或重估报告书，交付甲方，乙方</w:t>
      </w:r>
      <w:r>
        <w:rPr>
          <w:rFonts w:hint="eastAsia" w:ascii="仿宋" w:hAnsi="仿宋" w:eastAsia="仿宋" w:cs="仿宋"/>
          <w:color w:val="auto"/>
          <w:sz w:val="24"/>
          <w:highlight w:val="none"/>
          <w:lang w:val="en-US" w:eastAsia="zh-CN"/>
        </w:rPr>
        <w:t>承诺</w:t>
      </w:r>
      <w:r>
        <w:rPr>
          <w:rFonts w:hint="eastAsia" w:ascii="仿宋" w:hAnsi="仿宋" w:eastAsia="仿宋" w:cs="仿宋"/>
          <w:color w:val="auto"/>
          <w:sz w:val="24"/>
          <w:highlight w:val="none"/>
        </w:rPr>
        <w:t>不</w:t>
      </w:r>
      <w:r>
        <w:rPr>
          <w:rFonts w:hint="eastAsia" w:ascii="仿宋" w:hAnsi="仿宋" w:eastAsia="仿宋" w:cs="仿宋"/>
          <w:color w:val="auto"/>
          <w:sz w:val="24"/>
          <w:highlight w:val="none"/>
          <w:lang w:val="en-US" w:eastAsia="zh-CN"/>
        </w:rPr>
        <w:t>再</w:t>
      </w:r>
      <w:r>
        <w:rPr>
          <w:rFonts w:hint="eastAsia" w:ascii="仿宋" w:hAnsi="仿宋" w:eastAsia="仿宋" w:cs="仿宋"/>
          <w:color w:val="auto"/>
          <w:sz w:val="24"/>
          <w:highlight w:val="none"/>
        </w:rPr>
        <w:t>另行收取</w:t>
      </w:r>
      <w:r>
        <w:rPr>
          <w:rFonts w:hint="eastAsia" w:ascii="仿宋" w:hAnsi="仿宋" w:eastAsia="仿宋" w:cs="仿宋"/>
          <w:color w:val="auto"/>
          <w:sz w:val="24"/>
          <w:highlight w:val="none"/>
          <w:lang w:val="en-US" w:eastAsia="zh-CN"/>
        </w:rPr>
        <w:t>任何</w:t>
      </w:r>
      <w:r>
        <w:rPr>
          <w:rFonts w:hint="eastAsia" w:ascii="仿宋" w:hAnsi="仿宋" w:eastAsia="仿宋" w:cs="仿宋"/>
          <w:color w:val="auto"/>
          <w:sz w:val="24"/>
          <w:highlight w:val="none"/>
        </w:rPr>
        <w:t>费用。如乙方逾期交付的，还应承担本合同约定的违约责任。</w:t>
      </w:r>
    </w:p>
    <w:p w14:paraId="3155BBD8">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乙方出具的评估报告的知识产权归甲方所有，乙方应保证其出具的评估报告不侵犯任何第三方的合法权益，否则因此产生的一切纠纷与责任均由乙方自行承担，若因此给甲方造成损失的，乙方应负责全额赔偿。</w:t>
      </w:r>
    </w:p>
    <w:p w14:paraId="43C2233D">
      <w:pPr>
        <w:numPr>
          <w:ilvl w:val="0"/>
          <w:numId w:val="4"/>
        </w:numPr>
        <w:tabs>
          <w:tab w:val="left" w:pos="720"/>
        </w:tabs>
        <w:spacing w:line="360" w:lineRule="auto"/>
        <w:ind w:left="0" w:leftChars="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乙方非为法律、行政法规和行业规定所允许或经甲方同意，不得向他人提供或公开该报告书及相关内容。</w:t>
      </w:r>
    </w:p>
    <w:p w14:paraId="2A6A3923">
      <w:pPr>
        <w:tabs>
          <w:tab w:val="left" w:pos="720"/>
        </w:tabs>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、违约责任</w:t>
      </w:r>
    </w:p>
    <w:p w14:paraId="0BE30685">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甲、乙双方按照《中华人民共和国民法典》、《中华人民共和国资产评估法》的规定承担责任以及相应的违约责任。签约各方因不可抗力无法履行本合同的，应在不可抗力事件发生后10个工作日内将不能履行合同的事实通知另一方，并于10个工作日内提供不可抗力发生的详情及本合同不能履行、或者部分不能履行、或者需要延期履行的理由的有效证明文件。遭受不可抗力一方应当及时采取措施避免损失扩大，否则应就因未及时采取措施造成的损失扩大部分承担赔偿责任。</w:t>
      </w:r>
    </w:p>
    <w:p w14:paraId="0E592E1C">
      <w:pPr>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（二）发生下列情形的，甲乙双方承担各自责任：</w:t>
      </w:r>
    </w:p>
    <w:p w14:paraId="0F4D1AAE">
      <w:pPr>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1.因乙方原因造成评估报告数额不准确或存在其他错误的，乙方应当退还甲方已支付的评估费用</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并向甲方支付违约金人民币【10000】元。</w:t>
      </w:r>
    </w:p>
    <w:p w14:paraId="21CBBE4D">
      <w:pPr>
        <w:widowControl/>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w:t>
      </w:r>
      <w:r>
        <w:rPr>
          <w:rFonts w:hint="eastAsia" w:ascii="仿宋" w:hAnsi="仿宋" w:eastAsia="仿宋" w:cs="仿宋"/>
          <w:b/>
          <w:bCs/>
          <w:color w:val="auto"/>
          <w:sz w:val="24"/>
          <w:highlight w:val="none"/>
          <w:u w:val="single"/>
          <w:lang w:val="en-US" w:eastAsia="zh-CN"/>
        </w:rPr>
        <w:t>如</w:t>
      </w:r>
      <w:r>
        <w:rPr>
          <w:rFonts w:hint="eastAsia" w:ascii="仿宋" w:hAnsi="仿宋" w:eastAsia="仿宋" w:cs="仿宋"/>
          <w:b/>
          <w:bCs/>
          <w:color w:val="auto"/>
          <w:sz w:val="24"/>
          <w:highlight w:val="none"/>
          <w:u w:val="single"/>
        </w:rPr>
        <w:t>甲方单方</w:t>
      </w:r>
      <w:r>
        <w:rPr>
          <w:rFonts w:hint="eastAsia" w:ascii="仿宋" w:hAnsi="仿宋" w:eastAsia="仿宋" w:cs="仿宋"/>
          <w:b/>
          <w:bCs/>
          <w:color w:val="auto"/>
          <w:sz w:val="24"/>
          <w:highlight w:val="none"/>
          <w:u w:val="single"/>
          <w:lang w:val="en-US" w:eastAsia="zh-CN"/>
        </w:rPr>
        <w:t>提前终</w:t>
      </w:r>
      <w:r>
        <w:rPr>
          <w:rFonts w:hint="eastAsia" w:ascii="仿宋" w:hAnsi="仿宋" w:eastAsia="仿宋" w:cs="仿宋"/>
          <w:b/>
          <w:bCs/>
          <w:color w:val="auto"/>
          <w:sz w:val="24"/>
          <w:highlight w:val="none"/>
          <w:u w:val="single"/>
        </w:rPr>
        <w:t>止本合同，如乙方已开始工作，则双方应根据乙方实际完成的工作量另行协商评估费金额，</w:t>
      </w:r>
      <w:r>
        <w:rPr>
          <w:rFonts w:hint="eastAsia" w:ascii="仿宋" w:hAnsi="仿宋" w:eastAsia="仿宋" w:cs="仿宋"/>
          <w:b/>
          <w:bCs/>
          <w:color w:val="auto"/>
          <w:sz w:val="24"/>
          <w:highlight w:val="none"/>
          <w:u w:val="single"/>
          <w:lang w:val="en-US" w:eastAsia="zh-CN"/>
        </w:rPr>
        <w:t>乙方确认，</w:t>
      </w:r>
      <w:r>
        <w:rPr>
          <w:rFonts w:hint="eastAsia" w:ascii="仿宋" w:hAnsi="仿宋" w:eastAsia="仿宋" w:cs="仿宋"/>
          <w:b/>
          <w:bCs/>
          <w:color w:val="auto"/>
          <w:sz w:val="24"/>
          <w:highlight w:val="none"/>
          <w:u w:val="single"/>
        </w:rPr>
        <w:t>甲方</w:t>
      </w:r>
      <w:r>
        <w:rPr>
          <w:rFonts w:hint="eastAsia" w:ascii="仿宋" w:hAnsi="仿宋" w:eastAsia="仿宋" w:cs="仿宋"/>
          <w:b/>
          <w:bCs/>
          <w:color w:val="auto"/>
          <w:sz w:val="24"/>
          <w:highlight w:val="none"/>
          <w:u w:val="single"/>
          <w:lang w:val="en-US" w:eastAsia="zh-CN"/>
        </w:rPr>
        <w:t>该行为不属于违约行为，无需</w:t>
      </w:r>
      <w:r>
        <w:rPr>
          <w:rFonts w:hint="eastAsia" w:ascii="仿宋" w:hAnsi="仿宋" w:eastAsia="仿宋" w:cs="仿宋"/>
          <w:b/>
          <w:bCs/>
          <w:color w:val="auto"/>
          <w:sz w:val="24"/>
          <w:highlight w:val="none"/>
          <w:u w:val="single"/>
        </w:rPr>
        <w:t>承担任何违约责任。</w:t>
      </w:r>
    </w:p>
    <w:p w14:paraId="651BEE7A">
      <w:pPr>
        <w:widowControl/>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如乙方擅自停止或解除合同，除应退回甲方已支付的全部服务费外，乙方还应向甲方支付</w:t>
      </w:r>
      <w:r>
        <w:rPr>
          <w:rFonts w:hint="eastAsia" w:ascii="仿宋" w:hAnsi="仿宋" w:eastAsia="仿宋" w:cs="仿宋"/>
          <w:b/>
          <w:bCs/>
          <w:color w:val="auto"/>
          <w:sz w:val="24"/>
          <w:highlight w:val="none"/>
          <w:u w:val="single"/>
          <w:lang w:val="en-US" w:eastAsia="zh-CN"/>
        </w:rPr>
        <w:t>评估</w:t>
      </w:r>
      <w:r>
        <w:rPr>
          <w:rFonts w:hint="eastAsia" w:ascii="仿宋" w:hAnsi="仿宋" w:eastAsia="仿宋" w:cs="仿宋"/>
          <w:b/>
          <w:bCs/>
          <w:color w:val="auto"/>
          <w:sz w:val="24"/>
          <w:highlight w:val="none"/>
          <w:u w:val="single"/>
        </w:rPr>
        <w:t>服务费总额的10%作为违约金</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并赔偿因此给甲方造成的</w:t>
      </w:r>
      <w:r>
        <w:rPr>
          <w:rFonts w:hint="eastAsia" w:ascii="仿宋" w:hAnsi="仿宋" w:eastAsia="仿宋" w:cs="仿宋"/>
          <w:b/>
          <w:bCs/>
          <w:color w:val="auto"/>
          <w:sz w:val="24"/>
          <w:highlight w:val="none"/>
          <w:u w:val="single"/>
          <w:lang w:val="en-US" w:eastAsia="zh-CN"/>
        </w:rPr>
        <w:t>全部</w:t>
      </w:r>
      <w:r>
        <w:rPr>
          <w:rFonts w:hint="eastAsia" w:ascii="仿宋" w:hAnsi="仿宋" w:eastAsia="仿宋" w:cs="仿宋"/>
          <w:b/>
          <w:bCs/>
          <w:color w:val="auto"/>
          <w:sz w:val="24"/>
          <w:highlight w:val="none"/>
          <w:u w:val="single"/>
        </w:rPr>
        <w:t>损失。</w:t>
      </w:r>
    </w:p>
    <w:p w14:paraId="6433DDBE">
      <w:pPr>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.乙方如未按约定时间完成评估工作、逾期提交评估报告</w:t>
      </w:r>
      <w:r>
        <w:rPr>
          <w:rFonts w:hint="eastAsia" w:ascii="仿宋" w:hAnsi="仿宋" w:eastAsia="仿宋" w:cs="仿宋"/>
          <w:b/>
          <w:bCs/>
          <w:color w:val="auto"/>
          <w:sz w:val="24"/>
          <w:highlight w:val="none"/>
          <w:u w:val="single"/>
          <w:lang w:val="en-US" w:eastAsia="zh-CN"/>
        </w:rPr>
        <w:t>的</w:t>
      </w:r>
      <w:r>
        <w:rPr>
          <w:rFonts w:hint="eastAsia" w:ascii="仿宋" w:hAnsi="仿宋" w:eastAsia="仿宋" w:cs="仿宋"/>
          <w:b/>
          <w:bCs/>
          <w:color w:val="auto"/>
          <w:sz w:val="24"/>
          <w:highlight w:val="none"/>
          <w:u w:val="single"/>
        </w:rPr>
        <w:t>，每逾期一日，乙方应向甲方支付</w:t>
      </w:r>
      <w:r>
        <w:rPr>
          <w:rFonts w:hint="eastAsia" w:ascii="仿宋" w:hAnsi="仿宋" w:eastAsia="仿宋" w:cs="仿宋"/>
          <w:b/>
          <w:bCs/>
          <w:color w:val="auto"/>
          <w:sz w:val="24"/>
          <w:highlight w:val="none"/>
          <w:u w:val="single"/>
          <w:lang w:val="en-US" w:eastAsia="zh-CN"/>
        </w:rPr>
        <w:t>评估</w:t>
      </w:r>
      <w:r>
        <w:rPr>
          <w:rFonts w:hint="eastAsia" w:ascii="仿宋" w:hAnsi="仿宋" w:eastAsia="仿宋" w:cs="仿宋"/>
          <w:b/>
          <w:bCs/>
          <w:color w:val="auto"/>
          <w:sz w:val="24"/>
          <w:highlight w:val="none"/>
          <w:u w:val="single"/>
        </w:rPr>
        <w:t>服务费总额的千分之三作为违约金</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并赔偿因此给甲方造成的全部损失。</w:t>
      </w:r>
    </w:p>
    <w:p w14:paraId="6030E74F">
      <w:pPr>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5</w:t>
      </w:r>
      <w:r>
        <w:rPr>
          <w:rFonts w:hint="eastAsia" w:ascii="仿宋" w:hAnsi="仿宋" w:eastAsia="仿宋" w:cs="仿宋"/>
          <w:b/>
          <w:bCs/>
          <w:color w:val="auto"/>
          <w:sz w:val="24"/>
          <w:highlight w:val="none"/>
          <w:u w:val="single"/>
        </w:rPr>
        <w:t>.乙方未按本合同约定提供的本合同项下服务或因违反法律法规的，乙方应向甲方支付</w:t>
      </w:r>
      <w:r>
        <w:rPr>
          <w:rFonts w:hint="eastAsia" w:ascii="仿宋" w:hAnsi="仿宋" w:eastAsia="仿宋" w:cs="仿宋"/>
          <w:b/>
          <w:bCs/>
          <w:color w:val="auto"/>
          <w:sz w:val="24"/>
          <w:highlight w:val="none"/>
          <w:u w:val="single"/>
          <w:lang w:val="en-US" w:eastAsia="zh-CN"/>
        </w:rPr>
        <w:t>评估</w:t>
      </w:r>
      <w:r>
        <w:rPr>
          <w:rFonts w:hint="eastAsia" w:ascii="仿宋" w:hAnsi="仿宋" w:eastAsia="仿宋" w:cs="仿宋"/>
          <w:b/>
          <w:bCs/>
          <w:color w:val="auto"/>
          <w:sz w:val="24"/>
          <w:highlight w:val="none"/>
          <w:u w:val="single"/>
        </w:rPr>
        <w:t>服务费总额的20%</w:t>
      </w:r>
      <w:r>
        <w:rPr>
          <w:rFonts w:hint="eastAsia" w:ascii="仿宋" w:hAnsi="仿宋" w:eastAsia="仿宋" w:cs="仿宋"/>
          <w:b/>
          <w:bCs/>
          <w:color w:val="auto"/>
          <w:sz w:val="24"/>
          <w:highlight w:val="none"/>
          <w:u w:val="single"/>
          <w:lang w:val="en-US" w:eastAsia="zh-CN"/>
        </w:rPr>
        <w:t>作为</w:t>
      </w:r>
      <w:r>
        <w:rPr>
          <w:rFonts w:hint="eastAsia" w:ascii="仿宋" w:hAnsi="仿宋" w:eastAsia="仿宋" w:cs="仿宋"/>
          <w:b/>
          <w:bCs/>
          <w:color w:val="auto"/>
          <w:sz w:val="24"/>
          <w:highlight w:val="none"/>
          <w:u w:val="single"/>
        </w:rPr>
        <w:t>违约金</w:t>
      </w:r>
      <w:r>
        <w:rPr>
          <w:rFonts w:hint="eastAsia" w:ascii="仿宋" w:hAnsi="仿宋" w:eastAsia="仿宋" w:cs="仿宋"/>
          <w:b/>
          <w:bCs/>
          <w:color w:val="auto"/>
          <w:sz w:val="24"/>
          <w:highlight w:val="none"/>
          <w:u w:val="single"/>
          <w:lang w:eastAsia="zh-CN"/>
        </w:rPr>
        <w:t>，</w:t>
      </w:r>
      <w:r>
        <w:rPr>
          <w:rFonts w:hint="eastAsia" w:ascii="仿宋" w:hAnsi="仿宋" w:eastAsia="仿宋" w:cs="仿宋"/>
          <w:b/>
          <w:bCs/>
          <w:color w:val="auto"/>
          <w:sz w:val="24"/>
          <w:highlight w:val="none"/>
          <w:u w:val="single"/>
        </w:rPr>
        <w:t>并赔偿甲方</w:t>
      </w:r>
      <w:r>
        <w:rPr>
          <w:rFonts w:hint="eastAsia" w:ascii="仿宋" w:hAnsi="仿宋" w:eastAsia="仿宋" w:cs="仿宋"/>
          <w:b/>
          <w:bCs/>
          <w:color w:val="auto"/>
          <w:sz w:val="24"/>
          <w:highlight w:val="none"/>
          <w:u w:val="single"/>
          <w:lang w:val="en-US" w:eastAsia="zh-CN"/>
        </w:rPr>
        <w:t>的</w:t>
      </w:r>
      <w:r>
        <w:rPr>
          <w:rFonts w:hint="eastAsia" w:ascii="仿宋" w:hAnsi="仿宋" w:eastAsia="仿宋" w:cs="仿宋"/>
          <w:b/>
          <w:bCs/>
          <w:color w:val="auto"/>
          <w:sz w:val="24"/>
          <w:highlight w:val="none"/>
          <w:u w:val="single"/>
        </w:rPr>
        <w:t>全部损失。</w:t>
      </w:r>
    </w:p>
    <w:p w14:paraId="5C124294">
      <w:pPr>
        <w:tabs>
          <w:tab w:val="left" w:pos="720"/>
        </w:tabs>
        <w:spacing w:line="360" w:lineRule="auto"/>
        <w:ind w:firstLine="482" w:firstLineChars="20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lang w:val="en-US" w:eastAsia="zh-CN"/>
        </w:rPr>
        <w:t>6</w:t>
      </w:r>
      <w:r>
        <w:rPr>
          <w:rFonts w:hint="eastAsia" w:ascii="仿宋" w:hAnsi="仿宋" w:eastAsia="仿宋" w:cs="仿宋"/>
          <w:b/>
          <w:bCs/>
          <w:color w:val="auto"/>
          <w:sz w:val="24"/>
          <w:highlight w:val="none"/>
          <w:u w:val="single"/>
        </w:rPr>
        <w:t>.为避免疑义，本合同所指“损失”包括但不限于守约方因此向第三方承担的赔偿责任、受到的行政处罚、诉讼费、</w:t>
      </w:r>
      <w:r>
        <w:rPr>
          <w:rFonts w:hint="eastAsia" w:ascii="仿宋" w:hAnsi="仿宋" w:eastAsia="仿宋" w:cs="仿宋"/>
          <w:b/>
          <w:bCs/>
          <w:color w:val="auto"/>
          <w:sz w:val="24"/>
          <w:highlight w:val="none"/>
          <w:u w:val="single"/>
          <w:lang w:val="en-US" w:eastAsia="zh-CN"/>
        </w:rPr>
        <w:t>保险费、保全费、</w:t>
      </w:r>
      <w:r>
        <w:rPr>
          <w:rFonts w:hint="eastAsia" w:ascii="仿宋" w:hAnsi="仿宋" w:eastAsia="仿宋" w:cs="仿宋"/>
          <w:b/>
          <w:bCs/>
          <w:color w:val="auto"/>
          <w:sz w:val="24"/>
          <w:highlight w:val="none"/>
          <w:u w:val="single"/>
        </w:rPr>
        <w:t>律师费、仲裁费、审计费、评估费、公证费、鉴定费、差旅费等。</w:t>
      </w:r>
    </w:p>
    <w:p w14:paraId="23E358E1">
      <w:pPr>
        <w:tabs>
          <w:tab w:val="left" w:pos="720"/>
        </w:tabs>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十、保密条款</w:t>
      </w:r>
    </w:p>
    <w:p w14:paraId="134C86B0">
      <w:pPr>
        <w:pStyle w:val="3"/>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及双方参与的人员应对本合同内容以及合同履行过程中获悉的信息严格保密；未经对方书面同意，不得向任何第三方透露，法律法规要求披露的除外。本条款长期有效，构成独立的保密合同。本条款的义务不因本合同的终止而终止。</w:t>
      </w:r>
    </w:p>
    <w:p w14:paraId="12DFEF6D">
      <w:pPr>
        <w:tabs>
          <w:tab w:val="left" w:pos="720"/>
        </w:tabs>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、合同的变更、中止、解除</w:t>
      </w:r>
    </w:p>
    <w:p w14:paraId="33F5F866">
      <w:pPr>
        <w:pStyle w:val="3"/>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本合同履行过程中，如发生《中华人民共和国民法典》、《中华人民共和国资产评估法》中允许变更或解除合同的情况，双方可依法或依约定变更或解除合同。</w:t>
      </w:r>
    </w:p>
    <w:p w14:paraId="1ED566E3">
      <w:pPr>
        <w:pStyle w:val="3"/>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乙双方发现相关事项约定不明确，或者履行估价程序受到限制需要增加、调整约定事项的，可以协商对合同相关条款进行变更，并以书面形式签订补充合同或者重新签订合同。补充合同或者新的合同未达成前，本合同仍然有效。   </w:t>
      </w:r>
    </w:p>
    <w:p w14:paraId="17842E30">
      <w:pPr>
        <w:pStyle w:val="3"/>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本合同签订后，</w:t>
      </w:r>
      <w:r>
        <w:rPr>
          <w:rFonts w:hint="eastAsia" w:ascii="仿宋" w:hAnsi="仿宋" w:eastAsia="仿宋" w:cs="仿宋"/>
          <w:color w:val="auto"/>
          <w:sz w:val="24"/>
          <w:szCs w:val="24"/>
          <w:highlight w:val="none"/>
          <w:lang w:val="en-US" w:eastAsia="zh-CN"/>
        </w:rPr>
        <w:t>评估</w:t>
      </w:r>
      <w:r>
        <w:rPr>
          <w:rFonts w:hint="eastAsia" w:ascii="仿宋" w:hAnsi="仿宋" w:eastAsia="仿宋" w:cs="仿宋"/>
          <w:color w:val="auto"/>
          <w:sz w:val="24"/>
          <w:szCs w:val="24"/>
          <w:highlight w:val="none"/>
        </w:rPr>
        <w:t>目的、</w:t>
      </w:r>
      <w:r>
        <w:rPr>
          <w:rFonts w:hint="eastAsia" w:ascii="仿宋" w:hAnsi="仿宋" w:eastAsia="仿宋" w:cs="仿宋"/>
          <w:color w:val="auto"/>
          <w:sz w:val="24"/>
          <w:szCs w:val="24"/>
          <w:highlight w:val="none"/>
          <w:lang w:val="en-US" w:eastAsia="zh-CN"/>
        </w:rPr>
        <w:t>评估</w:t>
      </w:r>
      <w:r>
        <w:rPr>
          <w:rFonts w:hint="eastAsia" w:ascii="仿宋" w:hAnsi="仿宋" w:eastAsia="仿宋" w:cs="仿宋"/>
          <w:color w:val="auto"/>
          <w:sz w:val="24"/>
          <w:szCs w:val="24"/>
          <w:highlight w:val="none"/>
        </w:rPr>
        <w:t>对象、价值时点发生变化，或者</w:t>
      </w:r>
      <w:r>
        <w:rPr>
          <w:rFonts w:hint="eastAsia" w:ascii="仿宋" w:hAnsi="仿宋" w:eastAsia="仿宋" w:cs="仿宋"/>
          <w:color w:val="auto"/>
          <w:sz w:val="24"/>
          <w:szCs w:val="24"/>
          <w:highlight w:val="none"/>
          <w:lang w:val="en-US" w:eastAsia="zh-CN"/>
        </w:rPr>
        <w:t>评估</w:t>
      </w:r>
      <w:r>
        <w:rPr>
          <w:rFonts w:hint="eastAsia" w:ascii="仿宋" w:hAnsi="仿宋" w:eastAsia="仿宋" w:cs="仿宋"/>
          <w:color w:val="auto"/>
          <w:sz w:val="24"/>
          <w:szCs w:val="24"/>
          <w:highlight w:val="none"/>
        </w:rPr>
        <w:t>范围发生重大变化，甲、乙双方应以书面形式签订补充合同或者重新签订合同。</w:t>
      </w:r>
    </w:p>
    <w:p w14:paraId="27E13FCA">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合同解除后（乙方具有违约情形除外），乙方根据已完成的工作量与甲方协商确定应收取或者退回的评估服务费。</w:t>
      </w:r>
    </w:p>
    <w:p w14:paraId="699EC437">
      <w:pPr>
        <w:tabs>
          <w:tab w:val="left" w:pos="720"/>
        </w:tabs>
        <w:spacing w:line="360" w:lineRule="auto"/>
        <w:ind w:firstLine="482" w:firstLineChars="20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十二</w:t>
      </w:r>
      <w:r>
        <w:rPr>
          <w:rFonts w:hint="eastAsia" w:ascii="仿宋" w:hAnsi="仿宋" w:eastAsia="仿宋" w:cs="仿宋"/>
          <w:b/>
          <w:color w:val="auto"/>
          <w:sz w:val="24"/>
          <w:highlight w:val="none"/>
        </w:rPr>
        <w:t xml:space="preserve">条 </w:t>
      </w:r>
      <w:r>
        <w:rPr>
          <w:rFonts w:hint="eastAsia" w:ascii="仿宋" w:hAnsi="仿宋" w:eastAsia="仿宋" w:cs="仿宋"/>
          <w:b/>
          <w:color w:val="auto"/>
          <w:sz w:val="24"/>
          <w:highlight w:val="none"/>
          <w:lang w:val="en-US" w:eastAsia="zh-CN"/>
        </w:rPr>
        <w:t>送达条款</w:t>
      </w:r>
    </w:p>
    <w:p w14:paraId="301019E9">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本合同履行过程中双方相互发送的函件、通知等</w:t>
      </w:r>
      <w:r>
        <w:rPr>
          <w:rFonts w:hint="eastAsia" w:ascii="仿宋" w:hAnsi="仿宋" w:eastAsia="仿宋" w:cs="仿宋"/>
          <w:color w:val="auto"/>
          <w:sz w:val="24"/>
          <w:highlight w:val="none"/>
          <w:lang w:val="en-US" w:eastAsia="zh-CN"/>
        </w:rPr>
        <w:t>以及</w:t>
      </w:r>
      <w:r>
        <w:rPr>
          <w:rFonts w:hint="eastAsia" w:ascii="仿宋" w:hAnsi="仿宋" w:eastAsia="仿宋" w:cs="仿宋"/>
          <w:color w:val="auto"/>
          <w:sz w:val="24"/>
          <w:highlight w:val="none"/>
        </w:rPr>
        <w:t>由人民法院向一方发送的开庭传票、诉讼文书等法律文书，应按照本合同文首所载地址进行送达。</w:t>
      </w:r>
    </w:p>
    <w:p w14:paraId="6734EF88">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任何一方变更前述通讯信息应</w:t>
      </w:r>
      <w:r>
        <w:rPr>
          <w:rFonts w:hint="eastAsia" w:ascii="仿宋" w:hAnsi="仿宋" w:eastAsia="仿宋" w:cs="仿宋"/>
          <w:color w:val="auto"/>
          <w:sz w:val="24"/>
          <w:highlight w:val="none"/>
          <w:lang w:val="en-US" w:eastAsia="zh-CN"/>
        </w:rPr>
        <w:t>当在变更后的3日内</w:t>
      </w:r>
      <w:r>
        <w:rPr>
          <w:rFonts w:hint="eastAsia" w:ascii="仿宋" w:hAnsi="仿宋" w:eastAsia="仿宋" w:cs="仿宋"/>
          <w:color w:val="auto"/>
          <w:sz w:val="24"/>
          <w:highlight w:val="none"/>
        </w:rPr>
        <w:t>书面通知另一方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另一方实际收到变更通知前的送达仍为有效送达。电子送达与书面送达具有同等法律效力。</w:t>
      </w:r>
      <w:r>
        <w:rPr>
          <w:rFonts w:hint="eastAsia" w:ascii="仿宋" w:hAnsi="仿宋" w:eastAsia="仿宋" w:cs="仿宋"/>
          <w:color w:val="auto"/>
          <w:sz w:val="24"/>
          <w:highlight w:val="none"/>
        </w:rPr>
        <w:t>提供虚假地址或者提供</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送达地址不准确、送达地址变更未及时告知</w:t>
      </w:r>
      <w:r>
        <w:rPr>
          <w:rFonts w:hint="eastAsia" w:ascii="仿宋" w:hAnsi="仿宋" w:eastAsia="仿宋" w:cs="仿宋"/>
          <w:color w:val="auto"/>
          <w:sz w:val="24"/>
          <w:highlight w:val="none"/>
          <w:lang w:val="en-US" w:eastAsia="zh-CN"/>
        </w:rPr>
        <w:t>对方</w:t>
      </w:r>
      <w:r>
        <w:rPr>
          <w:rFonts w:hint="eastAsia" w:ascii="仿宋" w:hAnsi="仿宋" w:eastAsia="仿宋" w:cs="仿宋"/>
          <w:color w:val="auto"/>
          <w:sz w:val="24"/>
          <w:highlight w:val="none"/>
        </w:rPr>
        <w:t>、受送达人拒绝签收</w:t>
      </w:r>
      <w:r>
        <w:rPr>
          <w:rFonts w:hint="eastAsia" w:ascii="仿宋" w:hAnsi="仿宋" w:eastAsia="仿宋" w:cs="仿宋"/>
          <w:color w:val="auto"/>
          <w:sz w:val="24"/>
          <w:highlight w:val="none"/>
          <w:lang w:val="en-US" w:eastAsia="zh-CN"/>
        </w:rPr>
        <w:t>等非因发件人的过错造成的无法送达</w:t>
      </w:r>
      <w:r>
        <w:rPr>
          <w:rFonts w:hint="eastAsia" w:ascii="仿宋" w:hAnsi="仿宋" w:eastAsia="仿宋" w:cs="仿宋"/>
          <w:color w:val="auto"/>
          <w:sz w:val="24"/>
          <w:highlight w:val="none"/>
        </w:rPr>
        <w:t>，直接送达的，</w:t>
      </w:r>
      <w:r>
        <w:rPr>
          <w:rFonts w:hint="eastAsia" w:ascii="仿宋" w:hAnsi="仿宋" w:eastAsia="仿宋" w:cs="仿宋"/>
          <w:color w:val="auto"/>
          <w:sz w:val="24"/>
          <w:highlight w:val="none"/>
          <w:lang w:val="en-US" w:eastAsia="zh-CN"/>
        </w:rPr>
        <w:t>送达</w:t>
      </w:r>
      <w:r>
        <w:rPr>
          <w:rFonts w:hint="eastAsia" w:ascii="仿宋" w:hAnsi="仿宋" w:eastAsia="仿宋" w:cs="仿宋"/>
          <w:color w:val="auto"/>
          <w:sz w:val="24"/>
          <w:highlight w:val="none"/>
        </w:rPr>
        <w:t>文书留在该地址之日为送达之日；邮寄送达的，</w:t>
      </w:r>
      <w:r>
        <w:rPr>
          <w:rFonts w:hint="eastAsia" w:ascii="仿宋" w:hAnsi="仿宋" w:eastAsia="仿宋" w:cs="仿宋"/>
          <w:color w:val="auto"/>
          <w:sz w:val="24"/>
          <w:highlight w:val="none"/>
          <w:lang w:val="en-US" w:eastAsia="zh-CN"/>
        </w:rPr>
        <w:t>送达</w:t>
      </w:r>
      <w:r>
        <w:rPr>
          <w:rFonts w:hint="eastAsia" w:ascii="仿宋" w:hAnsi="仿宋" w:eastAsia="仿宋" w:cs="仿宋"/>
          <w:color w:val="auto"/>
          <w:sz w:val="24"/>
          <w:highlight w:val="none"/>
        </w:rPr>
        <w:t>文书被退回之日</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自交邮后第7日视为送达之日。以电子送达方式送达文书的，其送达与其他方式送达具有同等法律效力。</w:t>
      </w:r>
    </w:p>
    <w:p w14:paraId="193D9188">
      <w:pPr>
        <w:tabs>
          <w:tab w:val="left" w:pos="720"/>
        </w:tabs>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条 争议解决</w:t>
      </w:r>
    </w:p>
    <w:p w14:paraId="59EADA72">
      <w:pPr>
        <w:tabs>
          <w:tab w:val="left" w:pos="720"/>
        </w:tabs>
        <w:spacing w:line="360" w:lineRule="auto"/>
        <w:ind w:firstLine="482" w:firstLineChars="200"/>
        <w:rPr>
          <w:rFonts w:hint="eastAsia" w:ascii="仿宋" w:hAnsi="仿宋" w:eastAsia="仿宋" w:cs="仿宋"/>
          <w:b/>
          <w:bCs/>
          <w:color w:val="auto"/>
          <w:sz w:val="24"/>
          <w:highlight w:val="none"/>
          <w:u w:val="single"/>
          <w:lang w:val="en-US"/>
        </w:rPr>
      </w:pPr>
      <w:r>
        <w:rPr>
          <w:rFonts w:hint="eastAsia" w:ascii="仿宋" w:hAnsi="仿宋" w:eastAsia="仿宋" w:cs="仿宋"/>
          <w:b/>
          <w:bCs/>
          <w:color w:val="auto"/>
          <w:sz w:val="24"/>
          <w:highlight w:val="none"/>
          <w:u w:val="single"/>
          <w:lang w:val="en-US" w:eastAsia="zh-CN"/>
        </w:rPr>
        <w:t>因本合同引起的一切</w:t>
      </w:r>
      <w:r>
        <w:rPr>
          <w:rFonts w:hint="eastAsia" w:ascii="仿宋" w:hAnsi="仿宋" w:eastAsia="仿宋" w:cs="仿宋"/>
          <w:b/>
          <w:bCs/>
          <w:color w:val="auto"/>
          <w:sz w:val="24"/>
          <w:highlight w:val="none"/>
          <w:u w:val="single"/>
        </w:rPr>
        <w:t>争议，</w:t>
      </w:r>
      <w:r>
        <w:rPr>
          <w:rFonts w:hint="eastAsia" w:ascii="仿宋" w:hAnsi="仿宋" w:eastAsia="仿宋" w:cs="仿宋"/>
          <w:b/>
          <w:bCs/>
          <w:color w:val="auto"/>
          <w:sz w:val="24"/>
          <w:highlight w:val="none"/>
          <w:u w:val="single"/>
          <w:lang w:val="en-US" w:eastAsia="zh-CN"/>
        </w:rPr>
        <w:t>双方</w:t>
      </w:r>
      <w:r>
        <w:rPr>
          <w:rFonts w:hint="eastAsia" w:ascii="仿宋" w:hAnsi="仿宋" w:eastAsia="仿宋" w:cs="仿宋"/>
          <w:b/>
          <w:bCs/>
          <w:color w:val="auto"/>
          <w:sz w:val="24"/>
          <w:highlight w:val="none"/>
          <w:u w:val="single"/>
        </w:rPr>
        <w:t>应当协商解决，协商不成的，</w:t>
      </w:r>
      <w:r>
        <w:rPr>
          <w:rFonts w:hint="eastAsia" w:ascii="仿宋" w:hAnsi="仿宋" w:eastAsia="仿宋" w:cs="仿宋"/>
          <w:b/>
          <w:bCs/>
          <w:color w:val="auto"/>
          <w:sz w:val="24"/>
          <w:highlight w:val="none"/>
          <w:u w:val="single"/>
          <w:lang w:val="en-US" w:eastAsia="zh-CN"/>
        </w:rPr>
        <w:t>任何一方均有权向北京市大兴区人民法院提起诉讼。</w:t>
      </w:r>
    </w:p>
    <w:p w14:paraId="4192BC11">
      <w:pPr>
        <w:tabs>
          <w:tab w:val="left" w:pos="720"/>
        </w:tabs>
        <w:spacing w:line="360" w:lineRule="auto"/>
        <w:ind w:firstLine="482" w:firstLineChars="20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条</w:t>
      </w:r>
      <w:r>
        <w:rPr>
          <w:rFonts w:hint="eastAsia" w:ascii="仿宋" w:hAnsi="仿宋" w:eastAsia="仿宋" w:cs="仿宋"/>
          <w:b/>
          <w:color w:val="auto"/>
          <w:sz w:val="24"/>
          <w:highlight w:val="none"/>
          <w:lang w:val="en-US" w:eastAsia="zh-CN"/>
        </w:rPr>
        <w:t xml:space="preserve"> 特别约定</w:t>
      </w:r>
    </w:p>
    <w:p w14:paraId="17DBEC5A">
      <w:pPr>
        <w:numPr>
          <w:ilvl w:val="0"/>
          <w:numId w:val="0"/>
        </w:numPr>
        <w:tabs>
          <w:tab w:val="left" w:pos="720"/>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合同送达条款与争议解决条款均为独立条款，不受合同整体或其他条款的效力的影响</w:t>
      </w:r>
      <w:r>
        <w:rPr>
          <w:rFonts w:hint="eastAsia" w:ascii="仿宋" w:hAnsi="仿宋" w:eastAsia="仿宋" w:cs="仿宋"/>
          <w:color w:val="auto"/>
          <w:sz w:val="24"/>
          <w:highlight w:val="none"/>
          <w:lang w:eastAsia="zh-CN"/>
        </w:rPr>
        <w:t>。</w:t>
      </w:r>
    </w:p>
    <w:p w14:paraId="7AC755BD">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合同中的送达</w:t>
      </w:r>
      <w:r>
        <w:rPr>
          <w:rFonts w:hint="eastAsia" w:ascii="仿宋" w:hAnsi="仿宋" w:eastAsia="仿宋" w:cs="仿宋"/>
          <w:color w:val="auto"/>
          <w:sz w:val="24"/>
          <w:highlight w:val="none"/>
          <w:lang w:val="en-US" w:eastAsia="zh-CN"/>
        </w:rPr>
        <w:t>条款</w:t>
      </w:r>
      <w:r>
        <w:rPr>
          <w:rFonts w:hint="eastAsia" w:ascii="仿宋" w:hAnsi="仿宋" w:eastAsia="仿宋" w:cs="仿宋"/>
          <w:color w:val="auto"/>
          <w:sz w:val="24"/>
          <w:highlight w:val="none"/>
        </w:rPr>
        <w:t>适用于合同履行期间，以及一旦发生争议进入民事诉讼后的一审、二审、再审和执行程序。</w:t>
      </w:r>
    </w:p>
    <w:p w14:paraId="2EC6FD4F">
      <w:pPr>
        <w:tabs>
          <w:tab w:val="left" w:pos="720"/>
          <w:tab w:val="left" w:pos="5595"/>
        </w:tabs>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条</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合同有效期限</w:t>
      </w:r>
      <w:r>
        <w:rPr>
          <w:rFonts w:hint="eastAsia" w:ascii="仿宋" w:hAnsi="仿宋" w:eastAsia="仿宋" w:cs="仿宋"/>
          <w:b/>
          <w:color w:val="auto"/>
          <w:sz w:val="24"/>
          <w:highlight w:val="none"/>
        </w:rPr>
        <w:tab/>
      </w:r>
    </w:p>
    <w:p w14:paraId="124E607F">
      <w:pPr>
        <w:tabs>
          <w:tab w:val="left" w:pos="720"/>
        </w:tabs>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本合同经甲、乙双方盖章</w:t>
      </w:r>
      <w:r>
        <w:rPr>
          <w:rFonts w:hint="eastAsia" w:ascii="仿宋" w:hAnsi="仿宋" w:eastAsia="仿宋" w:cs="仿宋"/>
          <w:color w:val="auto"/>
          <w:sz w:val="24"/>
          <w:highlight w:val="none"/>
          <w:lang w:val="en-US" w:eastAsia="zh-CN"/>
        </w:rPr>
        <w:t>之日起</w:t>
      </w:r>
      <w:r>
        <w:rPr>
          <w:rFonts w:hint="eastAsia" w:ascii="仿宋" w:hAnsi="仿宋" w:eastAsia="仿宋" w:cs="仿宋"/>
          <w:color w:val="auto"/>
          <w:sz w:val="24"/>
          <w:highlight w:val="none"/>
        </w:rPr>
        <w:t>生效，双方履行完毕本合同项下全部义务后终止。</w:t>
      </w:r>
    </w:p>
    <w:p w14:paraId="048ED3CA">
      <w:pPr>
        <w:tabs>
          <w:tab w:val="left" w:pos="720"/>
        </w:tabs>
        <w:spacing w:line="360" w:lineRule="auto"/>
        <w:ind w:firstLine="482" w:firstLineChars="20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条</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其他</w:t>
      </w:r>
    </w:p>
    <w:p w14:paraId="526D836D">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1．本合同一式</w:t>
      </w:r>
      <w:r>
        <w:rPr>
          <w:rFonts w:hint="eastAsia" w:ascii="仿宋" w:hAnsi="仿宋" w:eastAsia="仿宋" w:cs="仿宋"/>
          <w:color w:val="auto"/>
          <w:sz w:val="24"/>
          <w:highlight w:val="none"/>
          <w:u w:val="single"/>
          <w:lang w:val="en-US" w:eastAsia="zh-CN"/>
        </w:rPr>
        <w:t>陆</w:t>
      </w:r>
      <w:r>
        <w:rPr>
          <w:rFonts w:hint="eastAsia" w:ascii="仿宋" w:hAnsi="仿宋" w:eastAsia="仿宋" w:cs="仿宋"/>
          <w:color w:val="auto"/>
          <w:sz w:val="24"/>
          <w:highlight w:val="none"/>
        </w:rPr>
        <w:t>份，甲方持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份，乙方持</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具有同等法律效力。</w:t>
      </w:r>
    </w:p>
    <w:p w14:paraId="7BFC87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2．本合同如有未尽事宜，由双方协商后另行签订书面补充协议。补充协议为本合同不可分割的组成部分，与本合同具有同等的法律效力。</w:t>
      </w:r>
    </w:p>
    <w:p w14:paraId="27B50575">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本合同附件属于本合同不可分割的组成部分，与本合同具有同等法律效力。</w:t>
      </w:r>
    </w:p>
    <w:p w14:paraId="41E5CC88">
      <w:pPr>
        <w:tabs>
          <w:tab w:val="left" w:pos="72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双方均应主动配合接受结果查究。</w:t>
      </w:r>
    </w:p>
    <w:p w14:paraId="3A6EDB09">
      <w:pPr>
        <w:tabs>
          <w:tab w:val="left" w:pos="720"/>
          <w:tab w:val="left" w:pos="5595"/>
        </w:tabs>
        <w:spacing w:line="360" w:lineRule="auto"/>
        <w:ind w:firstLine="482" w:firstLineChars="20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本合同签订前，甲乙双方进行了充分的沟通，双方对本合同的全部条款均充分理解。本合同系双方在自愿、平等、协商一致的基础上签订。为了充分维护乙方的合法权利，甲方已经特别提醒乙方认真仔细阅读合同条款中的带有下划线的内容，并对该内容进行了充分的解释说明，乙方</w:t>
      </w:r>
      <w:r>
        <w:rPr>
          <w:rFonts w:hint="eastAsia" w:ascii="仿宋" w:hAnsi="仿宋" w:eastAsia="仿宋" w:cs="仿宋"/>
          <w:b/>
          <w:bCs w:val="0"/>
          <w:color w:val="auto"/>
          <w:sz w:val="24"/>
          <w:highlight w:val="none"/>
          <w:lang w:val="en-US" w:eastAsia="zh-CN"/>
        </w:rPr>
        <w:t>完全</w:t>
      </w:r>
      <w:r>
        <w:rPr>
          <w:rFonts w:hint="eastAsia" w:ascii="仿宋" w:hAnsi="仿宋" w:eastAsia="仿宋" w:cs="仿宋"/>
          <w:b/>
          <w:bCs w:val="0"/>
          <w:color w:val="auto"/>
          <w:sz w:val="24"/>
          <w:highlight w:val="none"/>
        </w:rPr>
        <w:t>理解</w:t>
      </w:r>
      <w:r>
        <w:rPr>
          <w:rFonts w:hint="eastAsia" w:ascii="仿宋" w:hAnsi="仿宋" w:eastAsia="仿宋" w:cs="仿宋"/>
          <w:b/>
          <w:bCs w:val="0"/>
          <w:color w:val="auto"/>
          <w:sz w:val="24"/>
          <w:highlight w:val="none"/>
          <w:lang w:val="en-US" w:eastAsia="zh-CN"/>
        </w:rPr>
        <w:t>并</w:t>
      </w:r>
      <w:r>
        <w:rPr>
          <w:rFonts w:hint="eastAsia" w:ascii="仿宋" w:hAnsi="仿宋" w:eastAsia="仿宋" w:cs="仿宋"/>
          <w:b/>
          <w:bCs w:val="0"/>
          <w:color w:val="auto"/>
          <w:sz w:val="24"/>
          <w:highlight w:val="none"/>
        </w:rPr>
        <w:t>同意</w:t>
      </w:r>
      <w:r>
        <w:rPr>
          <w:rFonts w:hint="eastAsia" w:ascii="仿宋" w:hAnsi="仿宋" w:eastAsia="仿宋" w:cs="仿宋"/>
          <w:b/>
          <w:bCs w:val="0"/>
          <w:color w:val="auto"/>
          <w:sz w:val="24"/>
          <w:highlight w:val="none"/>
          <w:lang w:val="en-US" w:eastAsia="zh-CN"/>
        </w:rPr>
        <w:t>本合同的全部条款</w:t>
      </w:r>
      <w:r>
        <w:rPr>
          <w:rFonts w:hint="eastAsia" w:ascii="仿宋" w:hAnsi="仿宋" w:eastAsia="仿宋" w:cs="仿宋"/>
          <w:b/>
          <w:bCs w:val="0"/>
          <w:color w:val="auto"/>
          <w:sz w:val="24"/>
          <w:highlight w:val="none"/>
        </w:rPr>
        <w:t>。</w:t>
      </w:r>
    </w:p>
    <w:p w14:paraId="577CDD97">
      <w:pPr>
        <w:tabs>
          <w:tab w:val="left" w:pos="720"/>
          <w:tab w:val="left" w:pos="5595"/>
        </w:tabs>
        <w:spacing w:line="360" w:lineRule="auto"/>
        <w:ind w:firstLine="482" w:firstLineChars="200"/>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lang w:val="en-US" w:eastAsia="zh-CN"/>
        </w:rPr>
        <w:t>以下无正文，为本合同签订处</w:t>
      </w:r>
      <w:r>
        <w:rPr>
          <w:rFonts w:hint="eastAsia" w:ascii="仿宋" w:hAnsi="仿宋" w:eastAsia="仿宋" w:cs="仿宋"/>
          <w:b/>
          <w:bCs w:val="0"/>
          <w:color w:val="auto"/>
          <w:sz w:val="24"/>
          <w:highlight w:val="none"/>
          <w:lang w:eastAsia="zh-CN"/>
        </w:rPr>
        <w:t>）</w:t>
      </w:r>
    </w:p>
    <w:p w14:paraId="29B4D4E9">
      <w:pPr>
        <w:tabs>
          <w:tab w:val="left" w:pos="720"/>
        </w:tabs>
        <w:spacing w:line="360" w:lineRule="auto"/>
        <w:ind w:firstLine="480" w:firstLineChars="200"/>
        <w:rPr>
          <w:rFonts w:hint="eastAsia" w:ascii="仿宋" w:hAnsi="仿宋" w:eastAsia="仿宋" w:cs="仿宋"/>
          <w:color w:val="auto"/>
          <w:sz w:val="24"/>
          <w:highlight w:val="none"/>
        </w:rPr>
      </w:pPr>
    </w:p>
    <w:p w14:paraId="2E723CD0">
      <w:pPr>
        <w:spacing w:line="480" w:lineRule="auto"/>
        <w:ind w:right="10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甲方(盖章) ：                               乙方(盖章) ： </w:t>
      </w:r>
    </w:p>
    <w:p w14:paraId="705F8D24">
      <w:pPr>
        <w:spacing w:line="480" w:lineRule="auto"/>
        <w:ind w:right="10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4A17861">
      <w:pPr>
        <w:spacing w:line="480" w:lineRule="auto"/>
        <w:ind w:right="108"/>
        <w:rPr>
          <w:rFonts w:hint="eastAsia" w:ascii="仿宋" w:hAnsi="仿宋" w:eastAsia="仿宋" w:cs="仿宋"/>
          <w:b/>
          <w:color w:val="auto"/>
          <w:sz w:val="24"/>
          <w:highlight w:val="none"/>
        </w:rPr>
      </w:pPr>
      <w:r>
        <w:rPr>
          <w:rFonts w:hint="eastAsia" w:ascii="仿宋" w:hAnsi="仿宋" w:eastAsia="仿宋" w:cs="仿宋"/>
          <w:color w:val="auto"/>
          <w:sz w:val="24"/>
          <w:highlight w:val="none"/>
        </w:rPr>
        <w:t>签订日期：   年   月   日                   签订日期：   年   月   日</w:t>
      </w:r>
    </w:p>
    <w:p w14:paraId="7336D6BA">
      <w:pPr>
        <w:rPr>
          <w:rFonts w:hint="eastAsia" w:ascii="仿宋" w:hAnsi="仿宋" w:eastAsia="仿宋" w:cs="仿宋"/>
          <w:color w:val="auto"/>
          <w:sz w:val="24"/>
          <w:highlight w:val="none"/>
          <w:u w:val="single"/>
        </w:rPr>
      </w:pPr>
    </w:p>
    <w:p w14:paraId="1798A226">
      <w:pPr>
        <w:rPr>
          <w:rFonts w:hint="eastAsia" w:ascii="仿宋" w:hAnsi="仿宋" w:eastAsia="仿宋" w:cs="仿宋"/>
          <w:color w:val="auto"/>
          <w:sz w:val="24"/>
          <w:highlight w:val="none"/>
          <w:u w:val="single"/>
          <w:lang w:val="en-US" w:eastAsia="zh-CN"/>
        </w:rPr>
      </w:pPr>
    </w:p>
    <w:p w14:paraId="6FC6DD0D">
      <w:pPr>
        <w:rPr>
          <w:rFonts w:hint="eastAsia" w:ascii="仿宋" w:hAnsi="仿宋" w:eastAsia="仿宋" w:cs="仿宋"/>
          <w:color w:val="auto"/>
          <w:sz w:val="24"/>
          <w:highlight w:val="none"/>
          <w:u w:val="single"/>
          <w:lang w:val="en-US" w:eastAsia="zh-CN"/>
        </w:rPr>
      </w:pPr>
    </w:p>
    <w:p w14:paraId="5F851455">
      <w:pPr>
        <w:rPr>
          <w:rFonts w:hint="eastAsia" w:ascii="仿宋" w:hAnsi="仿宋" w:eastAsia="仿宋" w:cs="仿宋"/>
          <w:color w:val="auto"/>
          <w:sz w:val="24"/>
          <w:highlight w:val="none"/>
          <w:u w:val="single"/>
          <w:lang w:val="en-US" w:eastAsia="zh-CN"/>
        </w:rPr>
      </w:pPr>
    </w:p>
    <w:p w14:paraId="0E03FC76">
      <w:pPr>
        <w:rPr>
          <w:rFonts w:hint="eastAsia" w:ascii="仿宋" w:hAnsi="仿宋" w:eastAsia="仿宋" w:cs="仿宋"/>
          <w:color w:val="auto"/>
          <w:sz w:val="24"/>
          <w:highlight w:val="none"/>
          <w:u w:val="single"/>
          <w:lang w:val="en-US" w:eastAsia="zh-CN"/>
        </w:rPr>
      </w:pPr>
    </w:p>
    <w:p w14:paraId="62E3D812">
      <w:pPr>
        <w:rPr>
          <w:rFonts w:hint="eastAsia" w:ascii="仿宋" w:hAnsi="仿宋" w:eastAsia="仿宋" w:cs="仿宋"/>
          <w:color w:val="auto"/>
          <w:sz w:val="24"/>
          <w:highlight w:val="none"/>
          <w:u w:val="single"/>
          <w:lang w:val="en-US" w:eastAsia="zh-CN"/>
        </w:rPr>
      </w:pPr>
    </w:p>
    <w:p w14:paraId="25C9811D">
      <w:pPr>
        <w:rPr>
          <w:rFonts w:hint="eastAsia" w:ascii="仿宋" w:hAnsi="仿宋" w:eastAsia="仿宋" w:cs="仿宋"/>
          <w:color w:val="auto"/>
          <w:sz w:val="24"/>
          <w:highlight w:val="none"/>
          <w:u w:val="single"/>
          <w:lang w:val="en-US" w:eastAsia="zh-CN"/>
        </w:rPr>
      </w:pPr>
    </w:p>
    <w:p w14:paraId="7311B9C9">
      <w:pPr>
        <w:tabs>
          <w:tab w:val="left" w:pos="720"/>
        </w:tabs>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附件一：报价清单明细</w:t>
      </w:r>
    </w:p>
    <w:p w14:paraId="7D646E58">
      <w:pPr>
        <w:rPr>
          <w:rFonts w:hint="eastAsia" w:ascii="仿宋" w:hAnsi="仿宋" w:eastAsia="仿宋" w:cs="仿宋"/>
          <w:color w:val="auto"/>
          <w:sz w:val="24"/>
          <w:highlight w:val="none"/>
          <w:u w:val="single"/>
          <w:lang w:val="en-US" w:eastAsia="zh-CN"/>
        </w:rPr>
      </w:pPr>
    </w:p>
    <w:p w14:paraId="0A5F41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2026年度人才租赁住房租金评估报价明细</w:t>
      </w:r>
    </w:p>
    <w:tbl>
      <w:tblPr>
        <w:tblStyle w:val="11"/>
        <w:tblW w:w="7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3777"/>
        <w:gridCol w:w="1823"/>
        <w:gridCol w:w="1052"/>
      </w:tblGrid>
      <w:tr w14:paraId="5884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41" w:type="dxa"/>
          </w:tcPr>
          <w:p w14:paraId="317C3C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777" w:type="dxa"/>
          </w:tcPr>
          <w:p w14:paraId="2C27667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823" w:type="dxa"/>
          </w:tcPr>
          <w:p w14:paraId="3456E0B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含税报价（元）</w:t>
            </w:r>
          </w:p>
        </w:tc>
        <w:tc>
          <w:tcPr>
            <w:tcW w:w="1052" w:type="dxa"/>
          </w:tcPr>
          <w:p w14:paraId="03086A7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BD0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41" w:type="dxa"/>
          </w:tcPr>
          <w:p w14:paraId="033869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777" w:type="dxa"/>
            <w:vAlign w:val="center"/>
          </w:tcPr>
          <w:p w14:paraId="3D4B32B8">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rPr>
              <w:t>亦嘉•麒麟赋A区</w:t>
            </w:r>
          </w:p>
        </w:tc>
        <w:tc>
          <w:tcPr>
            <w:tcW w:w="1823" w:type="dxa"/>
          </w:tcPr>
          <w:p w14:paraId="3B6552AB">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8000</w:t>
            </w:r>
          </w:p>
        </w:tc>
        <w:tc>
          <w:tcPr>
            <w:tcW w:w="1052" w:type="dxa"/>
          </w:tcPr>
          <w:p w14:paraId="2ECA01F5">
            <w:pPr>
              <w:jc w:val="center"/>
              <w:rPr>
                <w:rFonts w:hint="eastAsia" w:ascii="仿宋" w:hAnsi="仿宋" w:eastAsia="仿宋" w:cs="仿宋"/>
                <w:color w:val="auto"/>
                <w:sz w:val="24"/>
                <w:szCs w:val="24"/>
                <w:highlight w:val="none"/>
              </w:rPr>
            </w:pPr>
          </w:p>
        </w:tc>
      </w:tr>
      <w:tr w14:paraId="6CC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41" w:type="dxa"/>
          </w:tcPr>
          <w:p w14:paraId="7565C24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777" w:type="dxa"/>
            <w:vAlign w:val="center"/>
          </w:tcPr>
          <w:p w14:paraId="136A9026">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亦嘉•麒麟赋C区</w:t>
            </w:r>
          </w:p>
          <w:p w14:paraId="34B437F0">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（含车位、储藏室）</w:t>
            </w:r>
          </w:p>
        </w:tc>
        <w:tc>
          <w:tcPr>
            <w:tcW w:w="1823" w:type="dxa"/>
          </w:tcPr>
          <w:p w14:paraId="7B734BCB">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w:t>
            </w:r>
          </w:p>
        </w:tc>
        <w:tc>
          <w:tcPr>
            <w:tcW w:w="1052" w:type="dxa"/>
          </w:tcPr>
          <w:p w14:paraId="7DD7AC6B">
            <w:pPr>
              <w:jc w:val="center"/>
              <w:rPr>
                <w:rFonts w:hint="eastAsia" w:ascii="仿宋" w:hAnsi="仿宋" w:eastAsia="仿宋" w:cs="仿宋"/>
                <w:color w:val="auto"/>
                <w:sz w:val="24"/>
                <w:szCs w:val="24"/>
                <w:highlight w:val="none"/>
              </w:rPr>
            </w:pPr>
          </w:p>
        </w:tc>
      </w:tr>
      <w:tr w14:paraId="1C21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tcPr>
          <w:p w14:paraId="3F0ACB0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777" w:type="dxa"/>
            <w:vAlign w:val="center"/>
          </w:tcPr>
          <w:p w14:paraId="783CC048">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亦嘉•麒麟赋D区（含车位）</w:t>
            </w:r>
          </w:p>
        </w:tc>
        <w:tc>
          <w:tcPr>
            <w:tcW w:w="1823" w:type="dxa"/>
          </w:tcPr>
          <w:p w14:paraId="15B32159">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10000</w:t>
            </w:r>
          </w:p>
        </w:tc>
        <w:tc>
          <w:tcPr>
            <w:tcW w:w="1052" w:type="dxa"/>
          </w:tcPr>
          <w:p w14:paraId="539C9EEA">
            <w:pPr>
              <w:jc w:val="center"/>
              <w:rPr>
                <w:rFonts w:hint="eastAsia" w:ascii="仿宋" w:hAnsi="仿宋" w:eastAsia="仿宋" w:cs="仿宋"/>
                <w:color w:val="auto"/>
                <w:sz w:val="24"/>
                <w:szCs w:val="24"/>
                <w:highlight w:val="none"/>
              </w:rPr>
            </w:pPr>
          </w:p>
        </w:tc>
      </w:tr>
      <w:tr w14:paraId="5A98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1" w:type="dxa"/>
          </w:tcPr>
          <w:p w14:paraId="20E235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777" w:type="dxa"/>
            <w:vAlign w:val="center"/>
          </w:tcPr>
          <w:p w14:paraId="427AC6AE">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亦嘉•麒麟赋E区</w:t>
            </w:r>
          </w:p>
          <w:p w14:paraId="043E9317">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（含车位、储藏室）</w:t>
            </w:r>
          </w:p>
        </w:tc>
        <w:tc>
          <w:tcPr>
            <w:tcW w:w="1823" w:type="dxa"/>
          </w:tcPr>
          <w:p w14:paraId="2857A48D">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w:t>
            </w:r>
          </w:p>
        </w:tc>
        <w:tc>
          <w:tcPr>
            <w:tcW w:w="1052" w:type="dxa"/>
          </w:tcPr>
          <w:p w14:paraId="515C5178">
            <w:pPr>
              <w:jc w:val="center"/>
              <w:rPr>
                <w:rFonts w:hint="eastAsia" w:ascii="仿宋" w:hAnsi="仿宋" w:eastAsia="仿宋" w:cs="仿宋"/>
                <w:color w:val="auto"/>
                <w:sz w:val="24"/>
                <w:szCs w:val="24"/>
                <w:highlight w:val="none"/>
              </w:rPr>
            </w:pPr>
          </w:p>
        </w:tc>
      </w:tr>
      <w:tr w14:paraId="68A2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18" w:type="dxa"/>
            <w:gridSpan w:val="2"/>
          </w:tcPr>
          <w:p w14:paraId="3B1BF260">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823" w:type="dxa"/>
          </w:tcPr>
          <w:p w14:paraId="50E5F750">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42000</w:t>
            </w:r>
          </w:p>
        </w:tc>
        <w:tc>
          <w:tcPr>
            <w:tcW w:w="1052" w:type="dxa"/>
          </w:tcPr>
          <w:p w14:paraId="4B79BD04">
            <w:pPr>
              <w:jc w:val="center"/>
              <w:rPr>
                <w:rFonts w:hint="eastAsia" w:ascii="仿宋" w:hAnsi="仿宋" w:eastAsia="仿宋" w:cs="仿宋"/>
                <w:color w:val="auto"/>
                <w:sz w:val="24"/>
                <w:szCs w:val="24"/>
                <w:highlight w:val="none"/>
              </w:rPr>
            </w:pPr>
          </w:p>
        </w:tc>
      </w:tr>
    </w:tbl>
    <w:p w14:paraId="16EE28F6">
      <w:pPr>
        <w:spacing w:line="360" w:lineRule="auto"/>
        <w:rPr>
          <w:rFonts w:hint="eastAsia" w:ascii="仿宋" w:hAnsi="仿宋" w:eastAsia="仿宋" w:cs="仿宋"/>
          <w:color w:val="auto"/>
          <w:sz w:val="24"/>
          <w:highlight w:val="none"/>
        </w:rPr>
      </w:pPr>
    </w:p>
    <w:p w14:paraId="47BCD0E1">
      <w:pPr>
        <w:spacing w:line="360" w:lineRule="auto"/>
        <w:rPr>
          <w:color w:val="auto"/>
          <w:sz w:val="24"/>
          <w:highlight w:val="none"/>
        </w:rPr>
      </w:pPr>
    </w:p>
    <w:p w14:paraId="7C2BE735">
      <w:pPr>
        <w:rPr>
          <w:rFonts w:hint="eastAsia" w:ascii="仿宋" w:hAnsi="仿宋" w:eastAsia="仿宋" w:cs="仿宋"/>
          <w:color w:val="auto"/>
          <w:sz w:val="24"/>
          <w:highlight w:val="none"/>
          <w:u w:val="single"/>
          <w:lang w:val="en-US" w:eastAsia="zh-CN"/>
        </w:rPr>
      </w:pPr>
    </w:p>
    <w:p w14:paraId="16CC3092">
      <w:pPr>
        <w:rPr>
          <w:rFonts w:hint="eastAsia" w:ascii="仿宋" w:hAnsi="仿宋" w:eastAsia="仿宋" w:cs="仿宋"/>
          <w:color w:val="auto"/>
          <w:sz w:val="24"/>
          <w:highlight w:val="none"/>
          <w:u w:val="single"/>
          <w:lang w:val="en-US" w:eastAsia="zh-CN"/>
        </w:rPr>
      </w:pPr>
    </w:p>
    <w:p w14:paraId="50B66AFB">
      <w:pPr>
        <w:rPr>
          <w:rFonts w:hint="eastAsia" w:ascii="仿宋" w:hAnsi="仿宋" w:eastAsia="仿宋" w:cs="仿宋"/>
          <w:color w:val="auto"/>
          <w:sz w:val="24"/>
          <w:highlight w:val="none"/>
          <w:u w:val="single"/>
          <w:lang w:val="en-US" w:eastAsia="zh-CN"/>
        </w:rPr>
      </w:pPr>
    </w:p>
    <w:p w14:paraId="1E90C53D">
      <w:pPr>
        <w:rPr>
          <w:rFonts w:hint="eastAsia" w:ascii="仿宋" w:hAnsi="仿宋" w:eastAsia="仿宋" w:cs="仿宋"/>
          <w:color w:val="auto"/>
          <w:sz w:val="24"/>
          <w:highlight w:val="none"/>
          <w:u w:val="single"/>
          <w:lang w:val="en-US" w:eastAsia="zh-CN"/>
        </w:rPr>
      </w:pPr>
    </w:p>
    <w:p w14:paraId="1D35A49B">
      <w:pPr>
        <w:rPr>
          <w:rFonts w:hint="eastAsia" w:ascii="仿宋" w:hAnsi="仿宋" w:eastAsia="仿宋" w:cs="仿宋"/>
          <w:color w:val="auto"/>
          <w:sz w:val="24"/>
          <w:highlight w:val="none"/>
          <w:u w:val="single"/>
          <w:lang w:val="en-US" w:eastAsia="zh-CN"/>
        </w:rPr>
      </w:pPr>
    </w:p>
    <w:p w14:paraId="6BED7A9C">
      <w:pPr>
        <w:rPr>
          <w:rFonts w:hint="eastAsia" w:ascii="仿宋" w:hAnsi="仿宋" w:eastAsia="仿宋" w:cs="仿宋"/>
          <w:color w:val="auto"/>
          <w:sz w:val="24"/>
          <w:highlight w:val="none"/>
          <w:u w:val="single"/>
          <w:lang w:val="en-US" w:eastAsia="zh-CN"/>
        </w:rPr>
      </w:pPr>
    </w:p>
    <w:p w14:paraId="574A8137">
      <w:pPr>
        <w:rPr>
          <w:rFonts w:hint="eastAsia" w:ascii="仿宋" w:hAnsi="仿宋" w:eastAsia="仿宋" w:cs="仿宋"/>
          <w:color w:val="auto"/>
          <w:sz w:val="24"/>
          <w:highlight w:val="none"/>
          <w:u w:val="single"/>
          <w:lang w:val="en-US" w:eastAsia="zh-CN"/>
        </w:rPr>
      </w:pPr>
    </w:p>
    <w:p w14:paraId="5C38C531">
      <w:pPr>
        <w:rPr>
          <w:rFonts w:hint="eastAsia" w:ascii="仿宋" w:hAnsi="仿宋" w:eastAsia="仿宋" w:cs="仿宋"/>
          <w:color w:val="auto"/>
          <w:sz w:val="24"/>
          <w:highlight w:val="none"/>
          <w:u w:val="single"/>
          <w:lang w:val="en-US" w:eastAsia="zh-CN"/>
        </w:rPr>
      </w:pPr>
    </w:p>
    <w:p w14:paraId="740F5D8A">
      <w:pPr>
        <w:rPr>
          <w:rFonts w:hint="eastAsia" w:ascii="仿宋" w:hAnsi="仿宋" w:eastAsia="仿宋" w:cs="仿宋"/>
          <w:color w:val="auto"/>
          <w:sz w:val="24"/>
          <w:highlight w:val="none"/>
          <w:u w:val="single"/>
          <w:lang w:val="en-US" w:eastAsia="zh-CN"/>
        </w:rPr>
      </w:pPr>
    </w:p>
    <w:p w14:paraId="73799ABB">
      <w:pPr>
        <w:rPr>
          <w:rFonts w:hint="eastAsia" w:ascii="仿宋" w:hAnsi="仿宋" w:eastAsia="仿宋" w:cs="仿宋"/>
          <w:color w:val="auto"/>
          <w:sz w:val="24"/>
          <w:highlight w:val="none"/>
          <w:u w:val="single"/>
          <w:lang w:val="en-US" w:eastAsia="zh-CN"/>
        </w:rPr>
      </w:pPr>
    </w:p>
    <w:p w14:paraId="3066AC39">
      <w:pPr>
        <w:rPr>
          <w:rFonts w:hint="eastAsia" w:ascii="仿宋" w:hAnsi="仿宋" w:eastAsia="仿宋" w:cs="仿宋"/>
          <w:color w:val="auto"/>
          <w:sz w:val="24"/>
          <w:highlight w:val="none"/>
          <w:u w:val="single"/>
          <w:lang w:val="en-US" w:eastAsia="zh-CN"/>
        </w:rPr>
      </w:pPr>
    </w:p>
    <w:p w14:paraId="72E7CAB3">
      <w:pPr>
        <w:rPr>
          <w:rFonts w:hint="eastAsia" w:ascii="仿宋" w:hAnsi="仿宋" w:eastAsia="仿宋" w:cs="仿宋"/>
          <w:color w:val="auto"/>
          <w:sz w:val="24"/>
          <w:highlight w:val="none"/>
          <w:u w:val="single"/>
          <w:lang w:val="en-US" w:eastAsia="zh-CN"/>
        </w:rPr>
      </w:pPr>
    </w:p>
    <w:p w14:paraId="6ADDE711">
      <w:pPr>
        <w:rPr>
          <w:rFonts w:hint="eastAsia" w:ascii="仿宋" w:hAnsi="仿宋" w:eastAsia="仿宋" w:cs="仿宋"/>
          <w:color w:val="auto"/>
          <w:sz w:val="24"/>
          <w:highlight w:val="none"/>
          <w:u w:val="single"/>
          <w:lang w:val="en-US" w:eastAsia="zh-CN"/>
        </w:rPr>
      </w:pPr>
    </w:p>
    <w:p w14:paraId="5C42657C">
      <w:pPr>
        <w:rPr>
          <w:rFonts w:hint="eastAsia" w:ascii="仿宋" w:hAnsi="仿宋" w:eastAsia="仿宋" w:cs="仿宋"/>
          <w:color w:val="auto"/>
          <w:sz w:val="24"/>
          <w:highlight w:val="none"/>
          <w:u w:val="single"/>
          <w:lang w:val="en-US" w:eastAsia="zh-CN"/>
        </w:rPr>
      </w:pPr>
    </w:p>
    <w:p w14:paraId="4E1310F4">
      <w:pPr>
        <w:rPr>
          <w:rFonts w:hint="eastAsia" w:ascii="仿宋" w:hAnsi="仿宋" w:eastAsia="仿宋" w:cs="仿宋"/>
          <w:color w:val="auto"/>
          <w:sz w:val="24"/>
          <w:highlight w:val="none"/>
          <w:u w:val="single"/>
          <w:lang w:val="en-US" w:eastAsia="zh-CN"/>
        </w:rPr>
      </w:pPr>
    </w:p>
    <w:p w14:paraId="7AB903F8">
      <w:pPr>
        <w:rPr>
          <w:rFonts w:hint="eastAsia" w:ascii="仿宋" w:hAnsi="仿宋" w:eastAsia="仿宋" w:cs="仿宋"/>
          <w:color w:val="auto"/>
          <w:sz w:val="24"/>
          <w:highlight w:val="none"/>
          <w:u w:val="single"/>
          <w:lang w:val="en-US" w:eastAsia="zh-CN"/>
        </w:rPr>
      </w:pPr>
    </w:p>
    <w:p w14:paraId="7C93797D">
      <w:pPr>
        <w:rPr>
          <w:rFonts w:hint="eastAsia" w:ascii="仿宋" w:hAnsi="仿宋" w:eastAsia="仿宋" w:cs="仿宋"/>
          <w:color w:val="auto"/>
          <w:sz w:val="24"/>
          <w:highlight w:val="none"/>
          <w:u w:val="single"/>
          <w:lang w:val="en-US" w:eastAsia="zh-CN"/>
        </w:rPr>
      </w:pPr>
    </w:p>
    <w:p w14:paraId="3FFB5ED2">
      <w:pPr>
        <w:rPr>
          <w:rFonts w:hint="eastAsia" w:ascii="仿宋" w:hAnsi="仿宋" w:eastAsia="仿宋" w:cs="仿宋"/>
          <w:color w:val="auto"/>
          <w:sz w:val="24"/>
          <w:highlight w:val="none"/>
          <w:u w:val="single"/>
          <w:lang w:val="en-US" w:eastAsia="zh-CN"/>
        </w:rPr>
      </w:pPr>
    </w:p>
    <w:p w14:paraId="31F38753">
      <w:pPr>
        <w:rPr>
          <w:rFonts w:hint="eastAsia" w:ascii="仿宋" w:hAnsi="仿宋" w:eastAsia="仿宋" w:cs="仿宋"/>
          <w:color w:val="auto"/>
          <w:sz w:val="24"/>
          <w:highlight w:val="none"/>
          <w:u w:val="single"/>
          <w:lang w:val="en-US" w:eastAsia="zh-CN"/>
        </w:rPr>
      </w:pPr>
    </w:p>
    <w:p w14:paraId="5580071F">
      <w:pPr>
        <w:rPr>
          <w:rFonts w:hint="eastAsia" w:ascii="仿宋" w:hAnsi="仿宋" w:eastAsia="仿宋" w:cs="仿宋"/>
          <w:color w:val="auto"/>
          <w:sz w:val="24"/>
          <w:highlight w:val="none"/>
          <w:u w:val="single"/>
          <w:lang w:val="en-US" w:eastAsia="zh-CN"/>
        </w:rPr>
      </w:pPr>
    </w:p>
    <w:p w14:paraId="0FF39003">
      <w:pPr>
        <w:rPr>
          <w:rFonts w:hint="eastAsia" w:ascii="仿宋" w:hAnsi="仿宋" w:eastAsia="仿宋" w:cs="仿宋"/>
          <w:color w:val="auto"/>
          <w:sz w:val="24"/>
          <w:highlight w:val="none"/>
          <w:u w:val="single"/>
          <w:lang w:val="en-US" w:eastAsia="zh-CN"/>
        </w:rPr>
      </w:pPr>
    </w:p>
    <w:p w14:paraId="7F1737C6">
      <w:pPr>
        <w:rPr>
          <w:rFonts w:hint="eastAsia" w:ascii="仿宋" w:hAnsi="仿宋" w:eastAsia="仿宋" w:cs="仿宋"/>
          <w:color w:val="auto"/>
          <w:sz w:val="24"/>
          <w:highlight w:val="none"/>
          <w:u w:val="single"/>
          <w:lang w:val="en-US" w:eastAsia="zh-CN"/>
        </w:rPr>
      </w:pPr>
    </w:p>
    <w:p w14:paraId="2405F83C">
      <w:pPr>
        <w:rPr>
          <w:rFonts w:hint="eastAsia" w:ascii="仿宋" w:hAnsi="仿宋" w:eastAsia="仿宋" w:cs="仿宋"/>
          <w:color w:val="auto"/>
          <w:sz w:val="24"/>
          <w:szCs w:val="24"/>
          <w:highlight w:val="none"/>
          <w:u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6BCC">
    <w:pPr>
      <w:pStyle w:val="5"/>
      <w:jc w:val="center"/>
      <w:rPr>
        <w:rFonts w:ascii="Times New Roman" w:hAnsi="Times New Roman" w:eastAsia="宋体" w:cs="Times New Roman"/>
      </w:rPr>
    </w:pPr>
    <w:r>
      <w:rPr>
        <w:rFonts w:ascii="Times New Roman" w:hAnsi="Times New Roman" w:eastAsia="宋体" w:cs="Times New Roman"/>
        <w:lang w:val="zh-CN"/>
      </w:rPr>
      <w:t xml:space="preserve"> </w:t>
    </w:r>
    <w:r>
      <w:rPr>
        <w:rFonts w:ascii="Times New Roman" w:hAnsi="Times New Roman" w:eastAsia="宋体" w:cs="Times New Roman"/>
        <w:b/>
        <w:sz w:val="24"/>
        <w:szCs w:val="24"/>
      </w:rPr>
      <w:fldChar w:fldCharType="begin"/>
    </w:r>
    <w:r>
      <w:rPr>
        <w:rFonts w:ascii="Times New Roman" w:hAnsi="Times New Roman" w:eastAsia="宋体" w:cs="Times New Roman"/>
        <w:b/>
      </w:rPr>
      <w:instrText xml:space="preserve">PAGE</w:instrText>
    </w:r>
    <w:r>
      <w:rPr>
        <w:rFonts w:ascii="Times New Roman" w:hAnsi="Times New Roman" w:eastAsia="宋体" w:cs="Times New Roman"/>
        <w:b/>
        <w:sz w:val="24"/>
        <w:szCs w:val="24"/>
      </w:rPr>
      <w:fldChar w:fldCharType="separate"/>
    </w:r>
    <w:r>
      <w:rPr>
        <w:rFonts w:ascii="Times New Roman" w:hAnsi="Times New Roman" w:eastAsia="宋体" w:cs="Times New Roman"/>
        <w:b/>
      </w:rPr>
      <w:t>12</w:t>
    </w:r>
    <w:r>
      <w:rPr>
        <w:rFonts w:ascii="Times New Roman" w:hAnsi="Times New Roman" w:eastAsia="宋体" w:cs="Times New Roman"/>
        <w:b/>
        <w:sz w:val="24"/>
        <w:szCs w:val="24"/>
      </w:rPr>
      <w:fldChar w:fldCharType="end"/>
    </w:r>
    <w:r>
      <w:rPr>
        <w:rFonts w:ascii="Times New Roman" w:hAnsi="Times New Roman" w:eastAsia="宋体" w:cs="Times New Roman"/>
        <w:lang w:val="zh-CN"/>
      </w:rPr>
      <w:t xml:space="preserve"> / </w:t>
    </w:r>
    <w:r>
      <w:rPr>
        <w:rFonts w:ascii="Times New Roman" w:hAnsi="Times New Roman" w:eastAsia="宋体" w:cs="Times New Roman"/>
        <w:b/>
        <w:sz w:val="24"/>
        <w:szCs w:val="24"/>
      </w:rPr>
      <w:fldChar w:fldCharType="begin"/>
    </w:r>
    <w:r>
      <w:rPr>
        <w:rFonts w:ascii="Times New Roman" w:hAnsi="Times New Roman" w:eastAsia="宋体" w:cs="Times New Roman"/>
        <w:b/>
      </w:rPr>
      <w:instrText xml:space="preserve">NUMPAGES</w:instrText>
    </w:r>
    <w:r>
      <w:rPr>
        <w:rFonts w:ascii="Times New Roman" w:hAnsi="Times New Roman" w:eastAsia="宋体" w:cs="Times New Roman"/>
        <w:b/>
        <w:sz w:val="24"/>
        <w:szCs w:val="24"/>
      </w:rPr>
      <w:fldChar w:fldCharType="separate"/>
    </w:r>
    <w:r>
      <w:rPr>
        <w:rFonts w:ascii="Times New Roman" w:hAnsi="Times New Roman" w:eastAsia="宋体" w:cs="Times New Roman"/>
        <w:b/>
      </w:rPr>
      <w:t>12</w:t>
    </w:r>
    <w:r>
      <w:rPr>
        <w:rFonts w:ascii="Times New Roman" w:hAnsi="Times New Roman" w:eastAsia="宋体" w:cs="Times New Roman"/>
        <w:b/>
        <w:sz w:val="24"/>
        <w:szCs w:val="24"/>
      </w:rPr>
      <w:fldChar w:fldCharType="end"/>
    </w:r>
  </w:p>
  <w:p w14:paraId="5C03E2FA">
    <w:pPr>
      <w:pStyle w:val="5"/>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F92">
    <w:pPr>
      <w:pStyle w:val="6"/>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AAC51"/>
    <w:multiLevelType w:val="singleLevel"/>
    <w:tmpl w:val="326AAC51"/>
    <w:lvl w:ilvl="0" w:tentative="0">
      <w:start w:val="1"/>
      <w:numFmt w:val="decimal"/>
      <w:suff w:val="nothing"/>
      <w:lvlText w:val="%1．"/>
      <w:lvlJc w:val="left"/>
      <w:pPr>
        <w:ind w:left="0" w:firstLine="400"/>
      </w:pPr>
      <w:rPr>
        <w:rFonts w:hint="default"/>
      </w:rPr>
    </w:lvl>
  </w:abstractNum>
  <w:abstractNum w:abstractNumId="1">
    <w:nsid w:val="35EFBF17"/>
    <w:multiLevelType w:val="singleLevel"/>
    <w:tmpl w:val="35EFBF17"/>
    <w:lvl w:ilvl="0" w:tentative="0">
      <w:start w:val="1"/>
      <w:numFmt w:val="chineseCounting"/>
      <w:suff w:val="nothing"/>
      <w:lvlText w:val="（%1）"/>
      <w:lvlJc w:val="left"/>
      <w:rPr>
        <w:rFonts w:hint="eastAsia"/>
      </w:rPr>
    </w:lvl>
  </w:abstractNum>
  <w:abstractNum w:abstractNumId="2">
    <w:nsid w:val="67F9140B"/>
    <w:multiLevelType w:val="multilevel"/>
    <w:tmpl w:val="67F9140B"/>
    <w:lvl w:ilvl="0" w:tentative="0">
      <w:start w:val="1"/>
      <w:numFmt w:val="japaneseCounting"/>
      <w:lvlText w:val="%1、"/>
      <w:lvlJc w:val="left"/>
      <w:pPr>
        <w:ind w:left="1202" w:hanging="720"/>
      </w:pPr>
      <w:rPr>
        <w:rFonts w:hint="default" w:cs="Times New Roman"/>
        <w:u w:val="none"/>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773AEEDF"/>
    <w:multiLevelType w:val="singleLevel"/>
    <w:tmpl w:val="773AEEDF"/>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TdkY2ZlOGU1YmJmM2Y4ZDFlM2I1YzIyNjE2NWMifQ=="/>
  </w:docVars>
  <w:rsids>
    <w:rsidRoot w:val="005401DB"/>
    <w:rsid w:val="0002659A"/>
    <w:rsid w:val="000514AB"/>
    <w:rsid w:val="000715B3"/>
    <w:rsid w:val="000F388E"/>
    <w:rsid w:val="00140324"/>
    <w:rsid w:val="001A7EDB"/>
    <w:rsid w:val="001F03BC"/>
    <w:rsid w:val="001F35E3"/>
    <w:rsid w:val="002028BE"/>
    <w:rsid w:val="00216F90"/>
    <w:rsid w:val="0022423D"/>
    <w:rsid w:val="00224F1C"/>
    <w:rsid w:val="00227EC7"/>
    <w:rsid w:val="0025209A"/>
    <w:rsid w:val="00292B16"/>
    <w:rsid w:val="0034543F"/>
    <w:rsid w:val="00356255"/>
    <w:rsid w:val="003B4136"/>
    <w:rsid w:val="0041126D"/>
    <w:rsid w:val="00445F59"/>
    <w:rsid w:val="00456634"/>
    <w:rsid w:val="00477077"/>
    <w:rsid w:val="004D1EDB"/>
    <w:rsid w:val="005401DB"/>
    <w:rsid w:val="00594537"/>
    <w:rsid w:val="00604E5B"/>
    <w:rsid w:val="00630D78"/>
    <w:rsid w:val="00634F7B"/>
    <w:rsid w:val="00724154"/>
    <w:rsid w:val="007264B3"/>
    <w:rsid w:val="00752E6C"/>
    <w:rsid w:val="007564B7"/>
    <w:rsid w:val="007851E5"/>
    <w:rsid w:val="00794AFF"/>
    <w:rsid w:val="007F765F"/>
    <w:rsid w:val="00874283"/>
    <w:rsid w:val="008B4698"/>
    <w:rsid w:val="008E4298"/>
    <w:rsid w:val="009110C8"/>
    <w:rsid w:val="00923FBC"/>
    <w:rsid w:val="0093421F"/>
    <w:rsid w:val="00964127"/>
    <w:rsid w:val="009744F6"/>
    <w:rsid w:val="009935E1"/>
    <w:rsid w:val="009951A1"/>
    <w:rsid w:val="009A3C09"/>
    <w:rsid w:val="009A746E"/>
    <w:rsid w:val="009E4DAF"/>
    <w:rsid w:val="009E5347"/>
    <w:rsid w:val="00A267E0"/>
    <w:rsid w:val="00A42578"/>
    <w:rsid w:val="00AA2BD6"/>
    <w:rsid w:val="00AB05DE"/>
    <w:rsid w:val="00AD4F16"/>
    <w:rsid w:val="00B27F06"/>
    <w:rsid w:val="00B568B3"/>
    <w:rsid w:val="00B870BB"/>
    <w:rsid w:val="00BB46E5"/>
    <w:rsid w:val="00BF2365"/>
    <w:rsid w:val="00C87886"/>
    <w:rsid w:val="00C905BE"/>
    <w:rsid w:val="00D73760"/>
    <w:rsid w:val="00D97644"/>
    <w:rsid w:val="00DA0617"/>
    <w:rsid w:val="00DA3BBF"/>
    <w:rsid w:val="00DC45CE"/>
    <w:rsid w:val="00DE7E41"/>
    <w:rsid w:val="00E1523B"/>
    <w:rsid w:val="00E15D59"/>
    <w:rsid w:val="00E21C2D"/>
    <w:rsid w:val="00E47DAE"/>
    <w:rsid w:val="00E64264"/>
    <w:rsid w:val="00EA09A4"/>
    <w:rsid w:val="00F37312"/>
    <w:rsid w:val="00F4363E"/>
    <w:rsid w:val="00F5529D"/>
    <w:rsid w:val="01722330"/>
    <w:rsid w:val="01A64BCA"/>
    <w:rsid w:val="01C60F67"/>
    <w:rsid w:val="03082F4B"/>
    <w:rsid w:val="03247659"/>
    <w:rsid w:val="03E80687"/>
    <w:rsid w:val="03F0709E"/>
    <w:rsid w:val="041B6CAE"/>
    <w:rsid w:val="0510548E"/>
    <w:rsid w:val="05393890"/>
    <w:rsid w:val="064A4D1E"/>
    <w:rsid w:val="06C54CB0"/>
    <w:rsid w:val="07F435C4"/>
    <w:rsid w:val="08A0174F"/>
    <w:rsid w:val="09341210"/>
    <w:rsid w:val="097B0548"/>
    <w:rsid w:val="0A981059"/>
    <w:rsid w:val="0AE4604C"/>
    <w:rsid w:val="0B5302D6"/>
    <w:rsid w:val="0BE5207C"/>
    <w:rsid w:val="0C230DF6"/>
    <w:rsid w:val="0CF4009D"/>
    <w:rsid w:val="0D04094F"/>
    <w:rsid w:val="0DB074D8"/>
    <w:rsid w:val="0F405A07"/>
    <w:rsid w:val="0F6634D4"/>
    <w:rsid w:val="0FFB55A7"/>
    <w:rsid w:val="10340AEB"/>
    <w:rsid w:val="105A0942"/>
    <w:rsid w:val="118A0FD0"/>
    <w:rsid w:val="11C75D80"/>
    <w:rsid w:val="11F12310"/>
    <w:rsid w:val="12C877BE"/>
    <w:rsid w:val="134C29E0"/>
    <w:rsid w:val="14DC7D94"/>
    <w:rsid w:val="159B19FD"/>
    <w:rsid w:val="16A86080"/>
    <w:rsid w:val="16F75418"/>
    <w:rsid w:val="17173EC8"/>
    <w:rsid w:val="175F2770"/>
    <w:rsid w:val="19017BC4"/>
    <w:rsid w:val="19490BB1"/>
    <w:rsid w:val="1ACF3EEB"/>
    <w:rsid w:val="1B0818E3"/>
    <w:rsid w:val="1B540295"/>
    <w:rsid w:val="1C3E6F1A"/>
    <w:rsid w:val="1E107ADD"/>
    <w:rsid w:val="1EBB2219"/>
    <w:rsid w:val="1EDC60BE"/>
    <w:rsid w:val="1FF22B62"/>
    <w:rsid w:val="211D59BC"/>
    <w:rsid w:val="21BC3427"/>
    <w:rsid w:val="22370462"/>
    <w:rsid w:val="22A9658B"/>
    <w:rsid w:val="23A81EB5"/>
    <w:rsid w:val="23CE7442"/>
    <w:rsid w:val="24846270"/>
    <w:rsid w:val="252C08C4"/>
    <w:rsid w:val="2897327F"/>
    <w:rsid w:val="28B8012C"/>
    <w:rsid w:val="2CFB12A7"/>
    <w:rsid w:val="2E25113F"/>
    <w:rsid w:val="2EC60613"/>
    <w:rsid w:val="30405223"/>
    <w:rsid w:val="310E5321"/>
    <w:rsid w:val="32EF0CDF"/>
    <w:rsid w:val="33694A91"/>
    <w:rsid w:val="33FE7E7F"/>
    <w:rsid w:val="34932829"/>
    <w:rsid w:val="34AA40FF"/>
    <w:rsid w:val="3601500D"/>
    <w:rsid w:val="362D7FF8"/>
    <w:rsid w:val="36C709E4"/>
    <w:rsid w:val="381E409C"/>
    <w:rsid w:val="386D6DD1"/>
    <w:rsid w:val="38D36131"/>
    <w:rsid w:val="38E075A3"/>
    <w:rsid w:val="39FD39E8"/>
    <w:rsid w:val="3BF27D19"/>
    <w:rsid w:val="3E677024"/>
    <w:rsid w:val="3FC96FE3"/>
    <w:rsid w:val="3FEE07F8"/>
    <w:rsid w:val="40F55BB6"/>
    <w:rsid w:val="41C31810"/>
    <w:rsid w:val="42B21FB1"/>
    <w:rsid w:val="43070205"/>
    <w:rsid w:val="43097230"/>
    <w:rsid w:val="43EC5BA7"/>
    <w:rsid w:val="45492182"/>
    <w:rsid w:val="45633A36"/>
    <w:rsid w:val="45921C25"/>
    <w:rsid w:val="45D3296A"/>
    <w:rsid w:val="46B1257F"/>
    <w:rsid w:val="46CE4EDF"/>
    <w:rsid w:val="47C23B01"/>
    <w:rsid w:val="48644196"/>
    <w:rsid w:val="48A979B2"/>
    <w:rsid w:val="49A720BE"/>
    <w:rsid w:val="4B9B6972"/>
    <w:rsid w:val="4D4203D5"/>
    <w:rsid w:val="4DB210B7"/>
    <w:rsid w:val="4E035DB6"/>
    <w:rsid w:val="50A6038A"/>
    <w:rsid w:val="511D6CB7"/>
    <w:rsid w:val="51BE096A"/>
    <w:rsid w:val="52F76F5F"/>
    <w:rsid w:val="53123703"/>
    <w:rsid w:val="531760C8"/>
    <w:rsid w:val="533B1B4E"/>
    <w:rsid w:val="53497921"/>
    <w:rsid w:val="5495703C"/>
    <w:rsid w:val="54F16968"/>
    <w:rsid w:val="56A82080"/>
    <w:rsid w:val="56C344F7"/>
    <w:rsid w:val="57E44562"/>
    <w:rsid w:val="5A661652"/>
    <w:rsid w:val="5B525C87"/>
    <w:rsid w:val="5B526D96"/>
    <w:rsid w:val="5E4E6BDA"/>
    <w:rsid w:val="5F507E53"/>
    <w:rsid w:val="60034DC3"/>
    <w:rsid w:val="602758BC"/>
    <w:rsid w:val="60AD095A"/>
    <w:rsid w:val="60E148C3"/>
    <w:rsid w:val="623C5D48"/>
    <w:rsid w:val="62887F19"/>
    <w:rsid w:val="62AF1C11"/>
    <w:rsid w:val="6342327A"/>
    <w:rsid w:val="64177854"/>
    <w:rsid w:val="646C4DA6"/>
    <w:rsid w:val="649B069F"/>
    <w:rsid w:val="650956A9"/>
    <w:rsid w:val="666A0329"/>
    <w:rsid w:val="68142770"/>
    <w:rsid w:val="68F45ECE"/>
    <w:rsid w:val="692C7B17"/>
    <w:rsid w:val="6D8C1240"/>
    <w:rsid w:val="6E070B53"/>
    <w:rsid w:val="6E205AC9"/>
    <w:rsid w:val="6F370FC4"/>
    <w:rsid w:val="6F755C12"/>
    <w:rsid w:val="701D465E"/>
    <w:rsid w:val="70457B88"/>
    <w:rsid w:val="71542301"/>
    <w:rsid w:val="71CF049C"/>
    <w:rsid w:val="72C834C6"/>
    <w:rsid w:val="72FC3B3A"/>
    <w:rsid w:val="735B1EDE"/>
    <w:rsid w:val="73813156"/>
    <w:rsid w:val="745B5755"/>
    <w:rsid w:val="7536669F"/>
    <w:rsid w:val="754C32EF"/>
    <w:rsid w:val="78B114BE"/>
    <w:rsid w:val="78F04210"/>
    <w:rsid w:val="79C80253"/>
    <w:rsid w:val="7A643918"/>
    <w:rsid w:val="7A7D2EAF"/>
    <w:rsid w:val="7C5A4544"/>
    <w:rsid w:val="7CD2353B"/>
    <w:rsid w:val="7D9121E7"/>
    <w:rsid w:val="7F4B6BA3"/>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autoRedefine/>
    <w:qFormat/>
    <w:uiPriority w:val="0"/>
    <w:pPr>
      <w:tabs>
        <w:tab w:val="right" w:pos="1276"/>
      </w:tabs>
      <w:spacing w:line="360" w:lineRule="auto"/>
      <w:ind w:left="965" w:leftChars="20" w:hanging="925" w:hangingChars="384"/>
      <w:outlineLvl w:val="1"/>
    </w:pPr>
    <w:rPr>
      <w:rFonts w:ascii="Times New Roman" w:hAnsi="Times New Roman" w:eastAsia="宋体" w:cs="Times New Roman"/>
      <w:b/>
      <w:bCs/>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unhideWhenUsed/>
    <w:qFormat/>
    <w:uiPriority w:val="0"/>
    <w:pPr>
      <w:widowControl w:val="0"/>
      <w:jc w:val="left"/>
    </w:pPr>
    <w:rPr>
      <w:rFonts w:ascii="Times New Roman" w:hAnsi="Times New Roman" w:eastAsia="仿宋_GB2312" w:cs="Times New Roman"/>
      <w:kern w:val="2"/>
      <w:sz w:val="30"/>
      <w:szCs w:val="30"/>
      <w:lang w:val="en-US" w:eastAsia="zh-CN" w:bidi="ar-SA"/>
    </w:rPr>
  </w:style>
  <w:style w:type="paragraph" w:styleId="4">
    <w:name w:val="Body Text Indent"/>
    <w:basedOn w:val="1"/>
    <w:qFormat/>
    <w:uiPriority w:val="0"/>
    <w:pPr>
      <w:spacing w:line="360" w:lineRule="auto"/>
      <w:ind w:firstLine="570"/>
    </w:pPr>
    <w:rPr>
      <w:sz w:val="24"/>
    </w:rPr>
  </w:style>
  <w:style w:type="paragraph" w:styleId="5">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302"/>
      </w:tabs>
      <w:spacing w:line="288" w:lineRule="auto"/>
      <w:jc w:val="left"/>
    </w:pPr>
    <w:rPr>
      <w:rFonts w:ascii="宋体"/>
      <w:color w:val="000000"/>
      <w:szCs w:val="21"/>
    </w:rPr>
  </w:style>
  <w:style w:type="paragraph" w:styleId="8">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9">
    <w:name w:val="Body Text First Indent 2"/>
    <w:basedOn w:val="4"/>
    <w:qFormat/>
    <w:uiPriority w:val="0"/>
    <w:pPr>
      <w:spacing w:after="120" w:line="480" w:lineRule="exact"/>
      <w:ind w:left="420" w:leftChars="200" w:firstLine="420" w:firstLineChars="200"/>
    </w:pPr>
    <w:rPr>
      <w:szCs w:val="20"/>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annotation reference"/>
    <w:unhideWhenUsed/>
    <w:qFormat/>
    <w:uiPriority w:val="99"/>
    <w:rPr>
      <w:sz w:val="21"/>
      <w:szCs w:val="21"/>
    </w:rPr>
  </w:style>
  <w:style w:type="character" w:customStyle="1" w:styleId="15">
    <w:name w:val="页眉 Char"/>
    <w:basedOn w:val="12"/>
    <w:link w:val="6"/>
    <w:autoRedefine/>
    <w:semiHidden/>
    <w:qFormat/>
    <w:uiPriority w:val="99"/>
    <w:rPr>
      <w:sz w:val="18"/>
      <w:szCs w:val="18"/>
    </w:rPr>
  </w:style>
  <w:style w:type="character" w:customStyle="1" w:styleId="16">
    <w:name w:val="页脚 Char"/>
    <w:basedOn w:val="12"/>
    <w:link w:val="5"/>
    <w:autoRedefine/>
    <w:semiHidden/>
    <w:qFormat/>
    <w:uiPriority w:val="99"/>
    <w:rPr>
      <w:sz w:val="18"/>
      <w:szCs w:val="18"/>
    </w:rPr>
  </w:style>
  <w:style w:type="character" w:customStyle="1" w:styleId="17">
    <w:name w:val="标题 2 Char"/>
    <w:basedOn w:val="12"/>
    <w:link w:val="2"/>
    <w:autoRedefine/>
    <w:qFormat/>
    <w:uiPriority w:val="0"/>
    <w:rPr>
      <w:rFonts w:ascii="Times New Roman" w:hAnsi="Times New Roman" w:eastAsia="宋体" w:cs="Times New Roman"/>
      <w:b/>
      <w:bCs/>
      <w:sz w:val="24"/>
      <w:szCs w:val="24"/>
    </w:rPr>
  </w:style>
  <w:style w:type="paragraph" w:styleId="18">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19">
    <w:name w:val="CM105"/>
    <w:basedOn w:val="20"/>
    <w:next w:val="20"/>
    <w:autoRedefine/>
    <w:qFormat/>
    <w:uiPriority w:val="0"/>
    <w:pPr>
      <w:autoSpaceDE w:val="0"/>
      <w:autoSpaceDN w:val="0"/>
      <w:adjustRightInd w:val="0"/>
      <w:spacing w:after="1040" w:line="276" w:lineRule="auto"/>
      <w:jc w:val="left"/>
    </w:pPr>
    <w:rPr>
      <w:rFonts w:ascii="宋体" w:hAnsi="Calibri" w:eastAsia="宋体" w:cs="Times New Roman"/>
      <w:kern w:val="0"/>
      <w:sz w:val="24"/>
      <w:szCs w:val="24"/>
    </w:rPr>
  </w:style>
  <w:style w:type="paragraph" w:customStyle="1" w:styleId="20">
    <w:name w:val="Default"/>
    <w:autoRedefine/>
    <w:qFormat/>
    <w:uiPriority w:val="0"/>
    <w:pPr>
      <w:widowControl w:val="0"/>
      <w:autoSpaceDE w:val="0"/>
      <w:autoSpaceDN w:val="0"/>
      <w:adjustRightInd w:val="0"/>
      <w:spacing w:after="200" w:line="276" w:lineRule="auto"/>
    </w:pPr>
    <w:rPr>
      <w:rFonts w:ascii="宋体" w:hAnsi="Calibri" w:eastAsia="宋体" w:cs="宋体"/>
      <w:color w:val="000000"/>
      <w:kern w:val="0"/>
      <w:sz w:val="24"/>
      <w:szCs w:val="24"/>
      <w:lang w:val="en-US" w:eastAsia="zh-CN" w:bidi="ar-SA"/>
    </w:rPr>
  </w:style>
  <w:style w:type="paragraph" w:customStyle="1" w:styleId="21">
    <w:name w:val="CM91"/>
    <w:basedOn w:val="20"/>
    <w:next w:val="20"/>
    <w:autoRedefine/>
    <w:qFormat/>
    <w:uiPriority w:val="0"/>
    <w:pPr>
      <w:spacing w:after="160"/>
    </w:pPr>
    <w:rPr>
      <w:rFonts w:cs="Times New Roman"/>
      <w:color w:val="auto"/>
    </w:rPr>
  </w:style>
  <w:style w:type="paragraph" w:customStyle="1" w:styleId="22">
    <w:name w:val="CM97"/>
    <w:basedOn w:val="20"/>
    <w:next w:val="20"/>
    <w:autoRedefine/>
    <w:qFormat/>
    <w:uiPriority w:val="0"/>
    <w:pPr>
      <w:spacing w:after="373"/>
    </w:pPr>
    <w:rPr>
      <w:rFonts w:cs="Times New Roman"/>
      <w:color w:val="auto"/>
    </w:rPr>
  </w:style>
  <w:style w:type="paragraph" w:customStyle="1" w:styleId="23">
    <w:name w:val="p0"/>
    <w:basedOn w:val="1"/>
    <w:qFormat/>
    <w:uiPriority w:val="0"/>
    <w:pPr>
      <w:widowControl/>
    </w:pPr>
    <w:rPr>
      <w:rFonts w:ascii="Times New Roman" w:hAnsi="Times New Roman" w:cs="Times New Roman"/>
      <w:kern w:val="0"/>
    </w:rPr>
  </w:style>
  <w:style w:type="paragraph" w:styleId="24">
    <w:name w:val="No Spacing"/>
    <w:qFormat/>
    <w:uiPriority w:val="0"/>
    <w:pPr>
      <w:widowControl w:val="0"/>
      <w:jc w:val="center"/>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4298</Words>
  <Characters>4498</Characters>
  <Lines>13</Lines>
  <Paragraphs>3</Paragraphs>
  <TotalTime>24</TotalTime>
  <ScaleCrop>false</ScaleCrop>
  <LinksUpToDate>false</LinksUpToDate>
  <CharactersWithSpaces>4651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2021-08-16T08:29:00Z</dcterms:created>
  <dc:creator>秦立江</dc:creator>
  <cp:lastModifiedBy>天晴</cp:lastModifiedBy>
  <cp:lastPrinted>2025-01-07T09:52:00Z</cp:lastPrinted>
  <dcterms:modified xsi:type="dcterms:W3CDTF">2025-11-19T06:09:27Z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45E964625A5542EFA61CC62401E69662_13</vt:lpwstr>
  </property>
  <property fmtid="{D5CDD505-2E9C-101B-9397-08002B2CF9AE}" pid="4" name="KSOTemplateDocerSaveRecord">
    <vt:lpwstr>eyJoZGlkIjoiY2ViMjEyYzg5MTE2MmNkMjUwZmQzYWJkNTkwNjYwNTUiLCJ1c2VySWQiOiIzOTU3ODg2MjQifQ==</vt:lpwstr>
  </property>
</Properties>
</file>